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1376" w14:textId="44C2CD31" w:rsidR="00592314" w:rsidRDefault="00C41277">
      <w:pPr>
        <w:rPr>
          <w:b/>
          <w:bCs/>
          <w:sz w:val="24"/>
          <w:szCs w:val="24"/>
          <w:lang w:val="de-DE"/>
        </w:rPr>
      </w:pPr>
      <w:bookmarkStart w:id="0" w:name="_GoBack"/>
      <w:bookmarkEnd w:id="0"/>
      <w:r>
        <w:rPr>
          <w:b/>
          <w:bCs/>
          <w:sz w:val="24"/>
          <w:szCs w:val="24"/>
          <w:lang w:val="de-DE"/>
        </w:rPr>
        <w:t xml:space="preserve">Magere Konjunkturaussichten: </w:t>
      </w:r>
      <w:r w:rsidR="00592314">
        <w:rPr>
          <w:b/>
          <w:bCs/>
          <w:sz w:val="24"/>
          <w:szCs w:val="24"/>
          <w:lang w:val="de-DE"/>
        </w:rPr>
        <w:t>Höhere Zinsen</w:t>
      </w:r>
      <w:r w:rsidR="009C6C58">
        <w:rPr>
          <w:b/>
          <w:bCs/>
          <w:sz w:val="24"/>
          <w:szCs w:val="24"/>
          <w:lang w:val="de-DE"/>
        </w:rPr>
        <w:t xml:space="preserve"> im Euroraum</w:t>
      </w:r>
      <w:r w:rsidR="002844E3">
        <w:rPr>
          <w:b/>
          <w:bCs/>
          <w:sz w:val="24"/>
          <w:szCs w:val="24"/>
          <w:lang w:val="de-DE"/>
        </w:rPr>
        <w:t xml:space="preserve"> vorerst nicht erwartbar</w:t>
      </w:r>
    </w:p>
    <w:p w14:paraId="16D7540F" w14:textId="340B0B25" w:rsidR="00592314" w:rsidRPr="00E00AE9" w:rsidRDefault="00592314" w:rsidP="00592314">
      <w:pPr>
        <w:rPr>
          <w:rFonts w:ascii="Calibri" w:hAnsi="Calibri" w:cs="Calibri"/>
          <w:lang w:val="de-DE"/>
        </w:rPr>
      </w:pPr>
      <w:r>
        <w:rPr>
          <w:rFonts w:ascii="Calibri" w:hAnsi="Calibri" w:cs="Calibri"/>
          <w:lang w:val="de-DE"/>
        </w:rPr>
        <w:t xml:space="preserve">2019 mussten wir uns immer wieder mit </w:t>
      </w:r>
      <w:r w:rsidR="00013790">
        <w:rPr>
          <w:rFonts w:ascii="Calibri" w:hAnsi="Calibri" w:cs="Calibri"/>
          <w:lang w:val="de-DE"/>
        </w:rPr>
        <w:t>veränderten</w:t>
      </w:r>
      <w:r w:rsidR="00E648CE">
        <w:rPr>
          <w:rFonts w:ascii="Calibri" w:hAnsi="Calibri" w:cs="Calibri"/>
          <w:lang w:val="de-DE"/>
        </w:rPr>
        <w:t xml:space="preserve"> Zinsaussichten, d.h. niedrigeren</w:t>
      </w:r>
      <w:r w:rsidR="00013790">
        <w:rPr>
          <w:rFonts w:ascii="Calibri" w:hAnsi="Calibri" w:cs="Calibri"/>
          <w:lang w:val="de-DE"/>
        </w:rPr>
        <w:t xml:space="preserve"> </w:t>
      </w:r>
      <w:r>
        <w:rPr>
          <w:rFonts w:ascii="Calibri" w:hAnsi="Calibri" w:cs="Calibri"/>
          <w:lang w:val="de-DE"/>
        </w:rPr>
        <w:t>Zins</w:t>
      </w:r>
      <w:r w:rsidR="00E648CE">
        <w:rPr>
          <w:rFonts w:ascii="Calibri" w:hAnsi="Calibri" w:cs="Calibri"/>
          <w:lang w:val="de-DE"/>
        </w:rPr>
        <w:t>en</w:t>
      </w:r>
      <w:r>
        <w:rPr>
          <w:rFonts w:ascii="Calibri" w:hAnsi="Calibri" w:cs="Calibri"/>
          <w:lang w:val="de-DE"/>
        </w:rPr>
        <w:t xml:space="preserve"> in der Eurozone</w:t>
      </w:r>
      <w:r w:rsidR="00E648CE">
        <w:rPr>
          <w:rFonts w:ascii="Calibri" w:hAnsi="Calibri" w:cs="Calibri"/>
          <w:lang w:val="de-DE"/>
        </w:rPr>
        <w:t xml:space="preserve"> </w:t>
      </w:r>
      <w:r>
        <w:rPr>
          <w:rFonts w:ascii="Calibri" w:hAnsi="Calibri" w:cs="Calibri"/>
          <w:lang w:val="de-DE"/>
        </w:rPr>
        <w:t xml:space="preserve">befassen. Da wir uns nun bereits mitten im zweiten Quartal 2019 befinden, </w:t>
      </w:r>
      <w:r w:rsidR="00BF6A8D">
        <w:rPr>
          <w:rFonts w:ascii="Calibri" w:hAnsi="Calibri" w:cs="Calibri"/>
          <w:lang w:val="de-DE"/>
        </w:rPr>
        <w:t>lohnt es sich</w:t>
      </w:r>
      <w:r>
        <w:rPr>
          <w:rFonts w:ascii="Calibri" w:hAnsi="Calibri" w:cs="Calibri"/>
          <w:lang w:val="de-DE"/>
        </w:rPr>
        <w:t xml:space="preserve">, das Thema erneut aufzugreifen. </w:t>
      </w:r>
      <w:r w:rsidR="00BF6A8D">
        <w:rPr>
          <w:rFonts w:ascii="Calibri" w:hAnsi="Calibri" w:cs="Calibri"/>
          <w:lang w:val="de-DE"/>
        </w:rPr>
        <w:t>Auch jetzt</w:t>
      </w:r>
      <w:r>
        <w:rPr>
          <w:rFonts w:ascii="Calibri" w:hAnsi="Calibri" w:cs="Calibri"/>
          <w:lang w:val="de-DE"/>
        </w:rPr>
        <w:t xml:space="preserve"> </w:t>
      </w:r>
      <w:r w:rsidR="00AE43C9">
        <w:rPr>
          <w:rFonts w:ascii="Calibri" w:hAnsi="Calibri" w:cs="Calibri"/>
          <w:lang w:val="de-DE"/>
        </w:rPr>
        <w:t>zählen wir</w:t>
      </w:r>
      <w:r>
        <w:rPr>
          <w:rFonts w:ascii="Calibri" w:hAnsi="Calibri" w:cs="Calibri"/>
          <w:lang w:val="de-DE"/>
        </w:rPr>
        <w:t xml:space="preserve"> nicht so schnell zu den Marktbeobachtern, die höhere Zinsen erwarten. </w:t>
      </w:r>
    </w:p>
    <w:p w14:paraId="5DC09425" w14:textId="7AC4EC56" w:rsidR="00592314" w:rsidRPr="00E00AE9" w:rsidRDefault="00592314" w:rsidP="00592314">
      <w:pPr>
        <w:spacing w:after="0" w:line="240" w:lineRule="auto"/>
        <w:rPr>
          <w:rFonts w:ascii="Calibri" w:eastAsia="Times New Roman" w:hAnsi="Calibri" w:cs="Calibri"/>
          <w:lang w:val="de-DE"/>
        </w:rPr>
      </w:pPr>
      <w:r>
        <w:rPr>
          <w:rFonts w:ascii="Calibri" w:eastAsia="Times New Roman" w:hAnsi="Calibri" w:cs="Calibri"/>
          <w:lang w:val="de-DE"/>
        </w:rPr>
        <w:t xml:space="preserve">Es stimmt zwar, dass sich die Märkte </w:t>
      </w:r>
      <w:r w:rsidR="00FD5972">
        <w:rPr>
          <w:rFonts w:ascii="Calibri" w:eastAsia="Times New Roman" w:hAnsi="Calibri" w:cs="Calibri"/>
          <w:lang w:val="de-DE"/>
        </w:rPr>
        <w:t>genauso wie die</w:t>
      </w:r>
      <w:r>
        <w:rPr>
          <w:rFonts w:ascii="Calibri" w:eastAsia="Times New Roman" w:hAnsi="Calibri" w:cs="Calibri"/>
          <w:lang w:val="de-DE"/>
        </w:rPr>
        <w:t xml:space="preserve"> </w:t>
      </w:r>
      <w:r w:rsidR="00FD5972">
        <w:rPr>
          <w:rFonts w:ascii="Calibri" w:eastAsia="Times New Roman" w:hAnsi="Calibri" w:cs="Calibri"/>
          <w:lang w:val="de-DE"/>
        </w:rPr>
        <w:t>EZB</w:t>
      </w:r>
      <w:r>
        <w:rPr>
          <w:rFonts w:ascii="Calibri" w:eastAsia="Times New Roman" w:hAnsi="Calibri" w:cs="Calibri"/>
          <w:lang w:val="de-DE"/>
        </w:rPr>
        <w:t xml:space="preserve"> im Laufe des bisherigen Jahres scheinbar in dieses Terrain bewegt haben. EZB-Präsident Mario Draghi wiederholte nach der Sitzung vom 10. April erneut, dass </w:t>
      </w:r>
      <w:r w:rsidR="008C7025" w:rsidRPr="00CC5706">
        <w:rPr>
          <w:rFonts w:ascii="Calibri" w:eastAsia="Times New Roman" w:hAnsi="Calibri" w:cs="Calibri"/>
          <w:lang w:val="de-DE"/>
        </w:rPr>
        <w:t xml:space="preserve">die </w:t>
      </w:r>
      <w:r w:rsidR="00701F3C" w:rsidRPr="00CC5706">
        <w:rPr>
          <w:rFonts w:ascii="Calibri" w:eastAsia="Times New Roman" w:hAnsi="Calibri" w:cs="Calibri"/>
          <w:lang w:val="de-DE"/>
        </w:rPr>
        <w:t>Wirtschaft der</w:t>
      </w:r>
      <w:r w:rsidRPr="00CC5706">
        <w:rPr>
          <w:rFonts w:ascii="Calibri" w:eastAsia="Times New Roman" w:hAnsi="Calibri" w:cs="Calibri"/>
          <w:lang w:val="de-DE"/>
        </w:rPr>
        <w:t xml:space="preserve"> Eurozone nach wie vor eine Abwärtstendenz</w:t>
      </w:r>
      <w:r w:rsidR="00701F3C">
        <w:rPr>
          <w:rFonts w:ascii="Calibri" w:eastAsia="Times New Roman" w:hAnsi="Calibri" w:cs="Calibri"/>
          <w:lang w:val="de-DE"/>
        </w:rPr>
        <w:t xml:space="preserve"> aufweist.</w:t>
      </w:r>
      <w:r>
        <w:rPr>
          <w:rFonts w:ascii="Calibri" w:eastAsia="Times New Roman" w:hAnsi="Calibri" w:cs="Calibri"/>
          <w:lang w:val="de-DE"/>
        </w:rPr>
        <w:t xml:space="preserve"> Er schien bei Bedarf offen für die Möglichkeit zusätzlicher Anreizmaßnahmen zu sein. Das Problem besteht darin, dass die EZB in dieser Hinsicht möglicherweise über begrenzten Spielraum verfügt. Das TLTRO-III-Programm</w:t>
      </w:r>
      <w:r>
        <w:rPr>
          <w:rStyle w:val="Funotenzeichen"/>
          <w:rFonts w:ascii="Calibri" w:eastAsia="Times New Roman" w:hAnsi="Calibri" w:cs="Calibri"/>
          <w:lang w:val="de-DE"/>
        </w:rPr>
        <w:footnoteReference w:id="2"/>
      </w:r>
      <w:r>
        <w:rPr>
          <w:rFonts w:ascii="Calibri" w:eastAsia="Times New Roman" w:hAnsi="Calibri" w:cs="Calibri"/>
          <w:lang w:val="de-DE"/>
        </w:rPr>
        <w:t xml:space="preserve"> ist der erste Schritt in Richtung Anreize. Draghi &amp; Co. </w:t>
      </w:r>
      <w:r w:rsidR="001E1330">
        <w:rPr>
          <w:rFonts w:ascii="Calibri" w:eastAsia="Times New Roman" w:hAnsi="Calibri" w:cs="Calibri"/>
          <w:lang w:val="de-DE"/>
        </w:rPr>
        <w:t xml:space="preserve">bleiben </w:t>
      </w:r>
      <w:r>
        <w:rPr>
          <w:rFonts w:ascii="Calibri" w:eastAsia="Times New Roman" w:hAnsi="Calibri" w:cs="Calibri"/>
          <w:lang w:val="de-DE"/>
        </w:rPr>
        <w:t xml:space="preserve">danach nicht mehr viele Möglichkeiten übrig, </w:t>
      </w:r>
      <w:r w:rsidR="005141FB">
        <w:rPr>
          <w:rFonts w:ascii="Calibri" w:eastAsia="Times New Roman" w:hAnsi="Calibri" w:cs="Calibri"/>
          <w:lang w:val="de-DE"/>
        </w:rPr>
        <w:t>d</w:t>
      </w:r>
      <w:r w:rsidR="000F5D3B">
        <w:rPr>
          <w:rFonts w:ascii="Calibri" w:eastAsia="Times New Roman" w:hAnsi="Calibri" w:cs="Calibri"/>
          <w:lang w:val="de-DE"/>
        </w:rPr>
        <w:t>enn</w:t>
      </w:r>
      <w:r>
        <w:rPr>
          <w:rFonts w:ascii="Calibri" w:eastAsia="Times New Roman" w:hAnsi="Calibri" w:cs="Calibri"/>
          <w:lang w:val="de-DE"/>
        </w:rPr>
        <w:t xml:space="preserve"> die Zinsen </w:t>
      </w:r>
      <w:r w:rsidR="000F5D3B">
        <w:rPr>
          <w:rFonts w:ascii="Calibri" w:eastAsia="Times New Roman" w:hAnsi="Calibri" w:cs="Calibri"/>
          <w:lang w:val="de-DE"/>
        </w:rPr>
        <w:t xml:space="preserve">liegen </w:t>
      </w:r>
      <w:r>
        <w:rPr>
          <w:rFonts w:ascii="Calibri" w:eastAsia="Times New Roman" w:hAnsi="Calibri" w:cs="Calibri"/>
          <w:lang w:val="de-DE"/>
        </w:rPr>
        <w:t xml:space="preserve">bereits bei </w:t>
      </w:r>
      <w:proofErr w:type="spellStart"/>
      <w:r w:rsidR="002844E3">
        <w:rPr>
          <w:rFonts w:ascii="Calibri" w:eastAsia="Times New Roman" w:hAnsi="Calibri" w:cs="Calibri"/>
          <w:lang w:val="de-DE"/>
        </w:rPr>
        <w:t>Null</w:t>
      </w:r>
      <w:proofErr w:type="spellEnd"/>
      <w:r w:rsidR="002844E3">
        <w:rPr>
          <w:rFonts w:ascii="Calibri" w:eastAsia="Times New Roman" w:hAnsi="Calibri" w:cs="Calibri"/>
          <w:lang w:val="de-DE"/>
        </w:rPr>
        <w:t xml:space="preserve"> </w:t>
      </w:r>
      <w:r>
        <w:rPr>
          <w:rFonts w:ascii="Calibri" w:eastAsia="Times New Roman" w:hAnsi="Calibri" w:cs="Calibri"/>
          <w:lang w:val="de-DE"/>
        </w:rPr>
        <w:t xml:space="preserve">oder im negativen Bereich. Selbstverständlich könnten sie das quantitative Lockerungsprogramm hochfahren, aber möchte die EZB den Kurs wirklich so schnell ändern, nachdem sie vor Kurzem das Ende neuer Anlagekäufe verkündete? </w:t>
      </w:r>
      <w:r w:rsidR="00994C34">
        <w:rPr>
          <w:rFonts w:ascii="Calibri" w:eastAsia="Times New Roman" w:hAnsi="Calibri" w:cs="Calibri"/>
          <w:lang w:val="de-DE"/>
        </w:rPr>
        <w:t>D</w:t>
      </w:r>
      <w:r w:rsidR="004B127E">
        <w:rPr>
          <w:rFonts w:ascii="Calibri" w:eastAsia="Times New Roman" w:hAnsi="Calibri" w:cs="Calibri"/>
          <w:lang w:val="de-DE"/>
        </w:rPr>
        <w:t>as</w:t>
      </w:r>
      <w:r w:rsidR="00994C34">
        <w:rPr>
          <w:rFonts w:ascii="Calibri" w:eastAsia="Times New Roman" w:hAnsi="Calibri" w:cs="Calibri"/>
          <w:lang w:val="de-DE"/>
        </w:rPr>
        <w:t xml:space="preserve"> </w:t>
      </w:r>
      <w:r>
        <w:rPr>
          <w:rFonts w:ascii="Calibri" w:eastAsia="Times New Roman" w:hAnsi="Calibri" w:cs="Calibri"/>
          <w:lang w:val="de-DE"/>
        </w:rPr>
        <w:t xml:space="preserve">einzige </w:t>
      </w:r>
      <w:r w:rsidR="00994C34">
        <w:rPr>
          <w:rFonts w:ascii="Calibri" w:eastAsia="Times New Roman" w:hAnsi="Calibri" w:cs="Calibri"/>
          <w:lang w:val="de-DE"/>
        </w:rPr>
        <w:t xml:space="preserve">zur Verfügung stehende </w:t>
      </w:r>
      <w:r>
        <w:rPr>
          <w:rFonts w:ascii="Calibri" w:eastAsia="Times New Roman" w:hAnsi="Calibri" w:cs="Calibri"/>
          <w:lang w:val="de-DE"/>
        </w:rPr>
        <w:t xml:space="preserve">Instrument sind die Hinweise auf die künftige Zinspolitik. </w:t>
      </w:r>
      <w:r w:rsidR="00E960F3">
        <w:rPr>
          <w:rFonts w:ascii="Calibri" w:eastAsia="Times New Roman" w:hAnsi="Calibri" w:cs="Calibri"/>
          <w:lang w:val="de-DE"/>
        </w:rPr>
        <w:t xml:space="preserve">Sollten die </w:t>
      </w:r>
      <w:r>
        <w:rPr>
          <w:rFonts w:ascii="Calibri" w:eastAsia="Times New Roman" w:hAnsi="Calibri" w:cs="Calibri"/>
          <w:lang w:val="de-DE"/>
        </w:rPr>
        <w:t xml:space="preserve">Wirtschaftsdaten in den kommenden Monaten weiter enttäuschen und kaum Verbesserung zeigen, </w:t>
      </w:r>
      <w:r w:rsidR="004B127E">
        <w:rPr>
          <w:rFonts w:ascii="Calibri" w:eastAsia="Times New Roman" w:hAnsi="Calibri" w:cs="Calibri"/>
          <w:lang w:val="de-DE"/>
        </w:rPr>
        <w:t>wird</w:t>
      </w:r>
      <w:r>
        <w:rPr>
          <w:rFonts w:ascii="Calibri" w:eastAsia="Times New Roman" w:hAnsi="Calibri" w:cs="Calibri"/>
          <w:lang w:val="de-DE"/>
        </w:rPr>
        <w:t xml:space="preserve"> die EZB </w:t>
      </w:r>
      <w:r w:rsidR="004B127E">
        <w:rPr>
          <w:rFonts w:ascii="Calibri" w:eastAsia="Times New Roman" w:hAnsi="Calibri" w:cs="Calibri"/>
          <w:lang w:val="de-DE"/>
        </w:rPr>
        <w:t xml:space="preserve">wahrscheinlich </w:t>
      </w:r>
      <w:r>
        <w:rPr>
          <w:rFonts w:ascii="Calibri" w:eastAsia="Times New Roman" w:hAnsi="Calibri" w:cs="Calibri"/>
          <w:lang w:val="de-DE"/>
        </w:rPr>
        <w:t xml:space="preserve">nicht mehr von einer Beibehaltung der Zinsen bis „mindestens Ende 2019“, sondern vielleicht bis „mindestens Mitte 2020“ sprechen. </w:t>
      </w:r>
    </w:p>
    <w:p w14:paraId="40004155" w14:textId="77777777" w:rsidR="00592314" w:rsidRPr="00E00AE9" w:rsidRDefault="00592314" w:rsidP="00592314">
      <w:pPr>
        <w:spacing w:after="0" w:line="240" w:lineRule="auto"/>
        <w:rPr>
          <w:rFonts w:ascii="Calibri" w:eastAsia="Times New Roman" w:hAnsi="Calibri" w:cs="Calibri"/>
          <w:lang w:val="de-DE"/>
        </w:rPr>
      </w:pPr>
    </w:p>
    <w:p w14:paraId="64D73750" w14:textId="77777777" w:rsidR="00592314" w:rsidRPr="00E00AE9" w:rsidRDefault="00592314" w:rsidP="00592314">
      <w:pPr>
        <w:rPr>
          <w:rFonts w:eastAsia="Times New Roman" w:cstheme="minorHAnsi"/>
          <w:b/>
          <w:bCs/>
          <w:color w:val="000000"/>
          <w:lang w:val="de-DE"/>
        </w:rPr>
      </w:pPr>
      <w:r>
        <w:rPr>
          <w:rFonts w:eastAsia="Times New Roman" w:cstheme="minorHAnsi"/>
          <w:b/>
          <w:bCs/>
          <w:lang w:val="de-DE"/>
        </w:rPr>
        <w:t>Abbildung 1:</w:t>
      </w:r>
      <w:r>
        <w:rPr>
          <w:rFonts w:eastAsia="Times New Roman" w:cstheme="minorHAnsi"/>
          <w:lang w:val="de-DE"/>
        </w:rPr>
        <w:t xml:space="preserve"> </w:t>
      </w:r>
      <w:r>
        <w:rPr>
          <w:rFonts w:eastAsia="Times New Roman" w:cstheme="minorHAnsi"/>
          <w:b/>
          <w:bCs/>
          <w:color w:val="000000"/>
          <w:lang w:val="de-DE"/>
        </w:rPr>
        <w:t>Implizite Wahrscheinlichkeiten für Zinsmaßnahmen 2019 – Europäische Zentralbank</w:t>
      </w:r>
    </w:p>
    <w:p w14:paraId="2F71E54F" w14:textId="77777777" w:rsidR="00592314" w:rsidRDefault="00592314" w:rsidP="00592314">
      <w:pPr>
        <w:spacing w:after="0" w:line="240" w:lineRule="auto"/>
        <w:rPr>
          <w:rFonts w:ascii="Calibri" w:eastAsia="Times New Roman" w:hAnsi="Calibri" w:cs="Calibri"/>
        </w:rPr>
      </w:pPr>
      <w:r>
        <w:rPr>
          <w:noProof/>
          <w:lang w:val="de-DE"/>
        </w:rPr>
        <w:drawing>
          <wp:inline distT="0" distB="0" distL="0" distR="0" wp14:anchorId="1EFC6FBD" wp14:editId="55577A1A">
            <wp:extent cx="4857750" cy="1323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7750" cy="1323975"/>
                    </a:xfrm>
                    <a:prstGeom prst="rect">
                      <a:avLst/>
                    </a:prstGeom>
                  </pic:spPr>
                </pic:pic>
              </a:graphicData>
            </a:graphic>
          </wp:inline>
        </w:drawing>
      </w:r>
    </w:p>
    <w:p w14:paraId="4168A170" w14:textId="77777777" w:rsidR="00592314" w:rsidRPr="00E00AE9" w:rsidRDefault="00592314" w:rsidP="00592314">
      <w:pPr>
        <w:spacing w:after="0" w:line="240" w:lineRule="auto"/>
        <w:rPr>
          <w:rFonts w:eastAsia="Times New Roman" w:cstheme="minorHAnsi"/>
          <w:lang w:val="de-DE"/>
        </w:rPr>
      </w:pPr>
      <w:r>
        <w:rPr>
          <w:lang w:val="de-DE"/>
        </w:rPr>
        <w:t xml:space="preserve">Quelle: Bloomberg. Stand: 23. April 2019. </w:t>
      </w:r>
      <w:r>
        <w:rPr>
          <w:b/>
          <w:bCs/>
          <w:lang w:val="de-DE"/>
        </w:rPr>
        <w:t xml:space="preserve">Prognosen sind kein Maßstab für zukünftige Ergebnisse, und Anlagen jeglicher Art unterliegen Risiken und Unsicherheiten. </w:t>
      </w:r>
      <w:r>
        <w:rPr>
          <w:lang w:val="de-DE"/>
        </w:rPr>
        <w:t>Sie können nicht direkt in einen Index investieren.</w:t>
      </w:r>
    </w:p>
    <w:p w14:paraId="66062C6A" w14:textId="77777777" w:rsidR="00592314" w:rsidRPr="00E00AE9" w:rsidRDefault="00592314" w:rsidP="00592314">
      <w:pPr>
        <w:spacing w:after="0" w:line="240" w:lineRule="auto"/>
        <w:rPr>
          <w:rFonts w:ascii="Calibri" w:eastAsia="Times New Roman" w:hAnsi="Calibri" w:cs="Calibri"/>
          <w:lang w:val="de-DE"/>
        </w:rPr>
      </w:pPr>
    </w:p>
    <w:p w14:paraId="15E2B979" w14:textId="707FCC8A" w:rsidR="00592314" w:rsidRPr="00E00AE9" w:rsidRDefault="00592314" w:rsidP="00592314">
      <w:pPr>
        <w:spacing w:after="0" w:line="240" w:lineRule="auto"/>
        <w:rPr>
          <w:rFonts w:ascii="Calibri" w:eastAsia="Times New Roman" w:hAnsi="Calibri" w:cs="Calibri"/>
          <w:lang w:val="de-DE"/>
        </w:rPr>
      </w:pPr>
      <w:r>
        <w:rPr>
          <w:rFonts w:ascii="Calibri" w:eastAsia="Times New Roman" w:hAnsi="Calibri" w:cs="Calibri"/>
          <w:lang w:val="de-DE"/>
        </w:rPr>
        <w:t>Mitte Dezember vor der letzten Zinsanhebung der US-amerikanischen Federal Reserve wurde die implizite Wahrscheinlichkeit für eine Zinsanhebung der EZB auf 44,5 </w:t>
      </w:r>
      <w:r w:rsidR="00484D75">
        <w:rPr>
          <w:rFonts w:ascii="Calibri" w:eastAsia="Times New Roman" w:hAnsi="Calibri" w:cs="Calibri"/>
          <w:lang w:val="de-DE"/>
        </w:rPr>
        <w:t>Prozent</w:t>
      </w:r>
      <w:r w:rsidR="00A83C93">
        <w:rPr>
          <w:rFonts w:ascii="Calibri" w:eastAsia="Times New Roman" w:hAnsi="Calibri" w:cs="Calibri"/>
          <w:lang w:val="de-DE"/>
        </w:rPr>
        <w:t>,</w:t>
      </w:r>
      <w:r>
        <w:rPr>
          <w:rFonts w:ascii="Calibri" w:eastAsia="Times New Roman" w:hAnsi="Calibri" w:cs="Calibri"/>
          <w:lang w:val="de-DE"/>
        </w:rPr>
        <w:t xml:space="preserve"> für eine Zinssenkung auf nur 6,4 </w:t>
      </w:r>
      <w:r w:rsidR="00484D75">
        <w:rPr>
          <w:rFonts w:ascii="Calibri" w:eastAsia="Times New Roman" w:hAnsi="Calibri" w:cs="Calibri"/>
          <w:lang w:val="de-DE"/>
        </w:rPr>
        <w:t>Prozent</w:t>
      </w:r>
      <w:r w:rsidR="00A83C93">
        <w:rPr>
          <w:rFonts w:ascii="Calibri" w:eastAsia="Times New Roman" w:hAnsi="Calibri" w:cs="Calibri"/>
          <w:lang w:val="de-DE"/>
        </w:rPr>
        <w:t xml:space="preserve"> eingeschätzt</w:t>
      </w:r>
      <w:r w:rsidR="00484D75">
        <w:rPr>
          <w:rFonts w:ascii="Calibri" w:eastAsia="Times New Roman" w:hAnsi="Calibri" w:cs="Calibri"/>
          <w:lang w:val="de-DE"/>
        </w:rPr>
        <w:t xml:space="preserve">. </w:t>
      </w:r>
      <w:r>
        <w:rPr>
          <w:rFonts w:ascii="Calibri" w:eastAsia="Times New Roman" w:hAnsi="Calibri" w:cs="Calibri"/>
          <w:lang w:val="de-DE"/>
        </w:rPr>
        <w:t xml:space="preserve">Ende April </w:t>
      </w:r>
      <w:r w:rsidR="00A83C93">
        <w:rPr>
          <w:rFonts w:ascii="Calibri" w:eastAsia="Times New Roman" w:hAnsi="Calibri" w:cs="Calibri"/>
          <w:lang w:val="de-DE"/>
        </w:rPr>
        <w:t>sieht dies</w:t>
      </w:r>
      <w:r>
        <w:rPr>
          <w:rFonts w:ascii="Calibri" w:eastAsia="Times New Roman" w:hAnsi="Calibri" w:cs="Calibri"/>
          <w:lang w:val="de-DE"/>
        </w:rPr>
        <w:t xml:space="preserve"> völlig anders aus: </w:t>
      </w:r>
      <w:r w:rsidR="00B008B8">
        <w:rPr>
          <w:rFonts w:ascii="Calibri" w:eastAsia="Times New Roman" w:hAnsi="Calibri" w:cs="Calibri"/>
          <w:lang w:val="de-DE"/>
        </w:rPr>
        <w:t xml:space="preserve">Nur </w:t>
      </w:r>
      <w:r>
        <w:rPr>
          <w:rFonts w:ascii="Calibri" w:eastAsia="Times New Roman" w:hAnsi="Calibri" w:cs="Calibri"/>
          <w:lang w:val="de-DE"/>
        </w:rPr>
        <w:t>4,0 </w:t>
      </w:r>
      <w:r w:rsidR="00484D75">
        <w:rPr>
          <w:rFonts w:ascii="Calibri" w:eastAsia="Times New Roman" w:hAnsi="Calibri" w:cs="Calibri"/>
          <w:lang w:val="de-DE"/>
        </w:rPr>
        <w:t>Prozent</w:t>
      </w:r>
      <w:r w:rsidR="00E63455">
        <w:rPr>
          <w:rFonts w:ascii="Calibri" w:eastAsia="Times New Roman" w:hAnsi="Calibri" w:cs="Calibri"/>
          <w:lang w:val="de-DE"/>
        </w:rPr>
        <w:t xml:space="preserve"> Wahrscheinlichkeit</w:t>
      </w:r>
      <w:r w:rsidR="00134913">
        <w:rPr>
          <w:rFonts w:ascii="Calibri" w:eastAsia="Times New Roman" w:hAnsi="Calibri" w:cs="Calibri"/>
          <w:lang w:val="de-DE"/>
        </w:rPr>
        <w:t xml:space="preserve"> sp</w:t>
      </w:r>
      <w:r w:rsidR="00221DC4">
        <w:rPr>
          <w:rFonts w:ascii="Calibri" w:eastAsia="Times New Roman" w:hAnsi="Calibri" w:cs="Calibri"/>
          <w:lang w:val="de-DE"/>
        </w:rPr>
        <w:t>richt</w:t>
      </w:r>
      <w:r w:rsidR="00484D75">
        <w:rPr>
          <w:rFonts w:ascii="Calibri" w:eastAsia="Times New Roman" w:hAnsi="Calibri" w:cs="Calibri"/>
          <w:lang w:val="de-DE"/>
        </w:rPr>
        <w:t xml:space="preserve"> </w:t>
      </w:r>
      <w:r>
        <w:rPr>
          <w:rFonts w:ascii="Calibri" w:eastAsia="Times New Roman" w:hAnsi="Calibri" w:cs="Calibri"/>
          <w:lang w:val="de-DE"/>
        </w:rPr>
        <w:t>für eine Zinsanhebung und fast 20,0 </w:t>
      </w:r>
      <w:r w:rsidR="00484D75">
        <w:rPr>
          <w:rFonts w:ascii="Calibri" w:eastAsia="Times New Roman" w:hAnsi="Calibri" w:cs="Calibri"/>
          <w:lang w:val="de-DE"/>
        </w:rPr>
        <w:t xml:space="preserve">Prozent </w:t>
      </w:r>
      <w:r>
        <w:rPr>
          <w:rFonts w:ascii="Calibri" w:eastAsia="Times New Roman" w:hAnsi="Calibri" w:cs="Calibri"/>
          <w:lang w:val="de-DE"/>
        </w:rPr>
        <w:t xml:space="preserve">für eine Zinssenkung. </w:t>
      </w:r>
    </w:p>
    <w:p w14:paraId="35F21E11" w14:textId="77777777" w:rsidR="00592314" w:rsidRPr="00E00AE9" w:rsidRDefault="00592314" w:rsidP="00592314">
      <w:pPr>
        <w:spacing w:after="0" w:line="240" w:lineRule="auto"/>
        <w:rPr>
          <w:rFonts w:ascii="Calibri" w:eastAsia="Times New Roman" w:hAnsi="Calibri" w:cs="Calibri"/>
          <w:lang w:val="de-DE"/>
        </w:rPr>
      </w:pPr>
    </w:p>
    <w:p w14:paraId="2478341D" w14:textId="56E0E537" w:rsidR="00592314" w:rsidRPr="00E00AE9" w:rsidRDefault="00592314" w:rsidP="00592314">
      <w:pPr>
        <w:spacing w:after="0" w:line="240" w:lineRule="auto"/>
        <w:rPr>
          <w:rFonts w:ascii="Calibri" w:eastAsia="Times New Roman" w:hAnsi="Calibri" w:cs="Calibri"/>
          <w:lang w:val="de-DE"/>
        </w:rPr>
      </w:pPr>
      <w:r>
        <w:rPr>
          <w:rFonts w:ascii="Calibri" w:eastAsia="Times New Roman" w:hAnsi="Calibri" w:cs="Calibri"/>
          <w:lang w:val="de-DE"/>
        </w:rPr>
        <w:t xml:space="preserve">Wie hat sich diese </w:t>
      </w:r>
      <w:r w:rsidR="00B008B8">
        <w:rPr>
          <w:rFonts w:ascii="Calibri" w:eastAsia="Times New Roman" w:hAnsi="Calibri" w:cs="Calibri"/>
          <w:lang w:val="de-DE"/>
        </w:rPr>
        <w:t>veränderte</w:t>
      </w:r>
      <w:r>
        <w:rPr>
          <w:rFonts w:ascii="Calibri" w:eastAsia="Times New Roman" w:hAnsi="Calibri" w:cs="Calibri"/>
          <w:lang w:val="de-DE"/>
        </w:rPr>
        <w:t xml:space="preserve"> geldpolitische Haltung auf die Anleiherenditen ausgewirkt? Sehen wir uns das Diagramm zu den Renditen zehnjähriger deutscher Bundesanleihen an. Die</w:t>
      </w:r>
      <w:r w:rsidR="00484D75">
        <w:rPr>
          <w:rFonts w:ascii="Calibri" w:eastAsia="Times New Roman" w:hAnsi="Calibri" w:cs="Calibri"/>
          <w:lang w:val="de-DE"/>
        </w:rPr>
        <w:t>se</w:t>
      </w:r>
      <w:r>
        <w:rPr>
          <w:rFonts w:ascii="Calibri" w:eastAsia="Times New Roman" w:hAnsi="Calibri" w:cs="Calibri"/>
          <w:lang w:val="de-DE"/>
        </w:rPr>
        <w:t xml:space="preserve"> Renditen bewegten sich zum ersten Mal seit 2016 erneut in negatives Terrain und befinden sich derzeit nach wie vor an der „Nullschwelle“. Die Trendlinie für den zweijährigen Zeithorizont zeigt nun deutlich nach unten. </w:t>
      </w:r>
    </w:p>
    <w:p w14:paraId="32741062" w14:textId="77777777" w:rsidR="00592314" w:rsidRPr="00E00AE9" w:rsidRDefault="00592314" w:rsidP="00592314">
      <w:pPr>
        <w:spacing w:after="0" w:line="240" w:lineRule="auto"/>
        <w:rPr>
          <w:rFonts w:ascii="Calibri" w:eastAsia="Times New Roman" w:hAnsi="Calibri" w:cs="Calibri"/>
          <w:lang w:val="de-DE"/>
        </w:rPr>
      </w:pPr>
    </w:p>
    <w:p w14:paraId="29A53CE5" w14:textId="77777777" w:rsidR="00592314" w:rsidRPr="00EB2527" w:rsidRDefault="00592314" w:rsidP="00592314">
      <w:pPr>
        <w:keepNext/>
        <w:spacing w:after="0" w:line="240" w:lineRule="auto"/>
        <w:rPr>
          <w:rFonts w:ascii="Calibri" w:eastAsia="Times New Roman" w:hAnsi="Calibri" w:cs="Calibri"/>
          <w:b/>
        </w:rPr>
      </w:pPr>
      <w:r>
        <w:rPr>
          <w:rFonts w:ascii="Calibri" w:eastAsia="Times New Roman" w:hAnsi="Calibri" w:cs="Calibri"/>
          <w:b/>
          <w:bCs/>
          <w:lang w:val="de-DE"/>
        </w:rPr>
        <w:lastRenderedPageBreak/>
        <w:t>Abbildung 2: Renditen zehnjähriger deutscher Bundesanleihen</w:t>
      </w:r>
    </w:p>
    <w:p w14:paraId="431DE6FF" w14:textId="77777777" w:rsidR="00592314" w:rsidRDefault="00592314" w:rsidP="00592314">
      <w:pPr>
        <w:keepNext/>
        <w:spacing w:after="0" w:line="240" w:lineRule="auto"/>
        <w:rPr>
          <w:rFonts w:ascii="Calibri" w:eastAsia="Times New Roman" w:hAnsi="Calibri" w:cs="Calibri"/>
        </w:rPr>
      </w:pPr>
    </w:p>
    <w:p w14:paraId="6D339B40" w14:textId="77777777" w:rsidR="00592314" w:rsidRDefault="00592314" w:rsidP="00592314">
      <w:pPr>
        <w:spacing w:after="0" w:line="240" w:lineRule="auto"/>
        <w:rPr>
          <w:rFonts w:ascii="Calibri" w:eastAsia="Times New Roman" w:hAnsi="Calibri" w:cs="Calibri"/>
        </w:rPr>
      </w:pPr>
      <w:r>
        <w:rPr>
          <w:rFonts w:ascii="Calibri" w:eastAsia="Times New Roman" w:hAnsi="Calibri" w:cs="Calibri"/>
          <w:noProof/>
          <w:lang w:val="de-DE"/>
        </w:rPr>
        <w:drawing>
          <wp:inline distT="0" distB="0" distL="0" distR="0" wp14:anchorId="17F42C7C" wp14:editId="0D5B6040">
            <wp:extent cx="6153786" cy="363659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243" cy="3648687"/>
                    </a:xfrm>
                    <a:prstGeom prst="rect">
                      <a:avLst/>
                    </a:prstGeom>
                    <a:noFill/>
                  </pic:spPr>
                </pic:pic>
              </a:graphicData>
            </a:graphic>
          </wp:inline>
        </w:drawing>
      </w:r>
    </w:p>
    <w:p w14:paraId="6FD7E58D" w14:textId="77777777" w:rsidR="00592314" w:rsidRPr="00CC5706" w:rsidRDefault="00592314" w:rsidP="00592314">
      <w:pPr>
        <w:spacing w:after="0" w:line="240" w:lineRule="auto"/>
        <w:rPr>
          <w:rFonts w:ascii="Calibri" w:eastAsia="Times New Roman" w:hAnsi="Calibri" w:cs="Calibri"/>
          <w:lang w:val="de-DE"/>
        </w:rPr>
      </w:pPr>
      <w:r>
        <w:rPr>
          <w:rFonts w:ascii="Calibri" w:eastAsia="Times New Roman" w:hAnsi="Calibri" w:cs="Calibri"/>
          <w:lang w:val="de-DE"/>
        </w:rPr>
        <w:t xml:space="preserve"> </w:t>
      </w:r>
    </w:p>
    <w:p w14:paraId="57D8C111" w14:textId="77777777" w:rsidR="00592314" w:rsidRPr="00E00AE9" w:rsidRDefault="00592314" w:rsidP="00592314">
      <w:pPr>
        <w:spacing w:after="0" w:line="240" w:lineRule="auto"/>
        <w:rPr>
          <w:rFonts w:eastAsia="Times New Roman" w:cstheme="minorHAnsi"/>
          <w:lang w:val="de-DE"/>
        </w:rPr>
      </w:pPr>
      <w:r>
        <w:rPr>
          <w:rFonts w:eastAsia="Times New Roman" w:cstheme="minorHAnsi"/>
          <w:lang w:val="de-DE"/>
        </w:rPr>
        <w:t xml:space="preserve">Quelle: Bloomberg. Stand: 24. April 2019. </w:t>
      </w:r>
      <w:r>
        <w:rPr>
          <w:rFonts w:eastAsia="Times New Roman" w:cstheme="minorHAnsi"/>
          <w:b/>
          <w:bCs/>
          <w:lang w:val="de-DE"/>
        </w:rPr>
        <w:t>Die Wertentwicklung in der Vergangenheit ist kein Maßstab für zukünftige Ergebnisse und der Wert von Anlagen kann fallen.</w:t>
      </w:r>
      <w:r>
        <w:rPr>
          <w:rFonts w:eastAsia="Times New Roman" w:cstheme="minorHAnsi"/>
          <w:lang w:val="de-DE"/>
        </w:rPr>
        <w:t xml:space="preserve"> Sie können nicht direkt in einen Index investieren.</w:t>
      </w:r>
    </w:p>
    <w:p w14:paraId="31738317" w14:textId="77777777" w:rsidR="00592314" w:rsidRPr="00E00AE9" w:rsidRDefault="00592314" w:rsidP="00592314">
      <w:pPr>
        <w:spacing w:after="0" w:line="240" w:lineRule="auto"/>
        <w:rPr>
          <w:rFonts w:ascii="Calibri" w:eastAsia="Times New Roman" w:hAnsi="Calibri" w:cs="Calibri"/>
          <w:lang w:val="de-DE"/>
        </w:rPr>
      </w:pPr>
    </w:p>
    <w:p w14:paraId="3778E1FF" w14:textId="13534670" w:rsidR="00592314" w:rsidRPr="00E00AE9" w:rsidRDefault="00592314" w:rsidP="00592314">
      <w:pPr>
        <w:spacing w:after="0" w:line="240" w:lineRule="auto"/>
        <w:rPr>
          <w:rFonts w:ascii="Calibri" w:eastAsia="Times New Roman" w:hAnsi="Calibri" w:cs="Calibri"/>
          <w:lang w:val="de-DE"/>
        </w:rPr>
      </w:pPr>
      <w:r>
        <w:rPr>
          <w:rFonts w:ascii="Calibri" w:eastAsia="Times New Roman" w:hAnsi="Calibri" w:cs="Calibri"/>
          <w:lang w:val="de-DE"/>
        </w:rPr>
        <w:t xml:space="preserve">Aus konjunktureller Sicht gibt es scheinbar nichts, </w:t>
      </w:r>
      <w:r w:rsidR="00484D75">
        <w:rPr>
          <w:rFonts w:ascii="Calibri" w:eastAsia="Times New Roman" w:hAnsi="Calibri" w:cs="Calibri"/>
          <w:lang w:val="de-DE"/>
        </w:rPr>
        <w:t xml:space="preserve">was </w:t>
      </w:r>
      <w:r>
        <w:rPr>
          <w:rFonts w:ascii="Calibri" w:eastAsia="Times New Roman" w:hAnsi="Calibri" w:cs="Calibri"/>
          <w:lang w:val="de-DE"/>
        </w:rPr>
        <w:t xml:space="preserve">ein höheres Zinsumfeld </w:t>
      </w:r>
      <w:r w:rsidR="00852016">
        <w:rPr>
          <w:rFonts w:ascii="Calibri" w:eastAsia="Times New Roman" w:hAnsi="Calibri" w:cs="Calibri"/>
          <w:lang w:val="de-DE"/>
        </w:rPr>
        <w:t>erfordern würde</w:t>
      </w:r>
      <w:r>
        <w:rPr>
          <w:rFonts w:ascii="Calibri" w:eastAsia="Times New Roman" w:hAnsi="Calibri" w:cs="Calibri"/>
          <w:lang w:val="de-DE"/>
        </w:rPr>
        <w:t xml:space="preserve">. Die Inflation </w:t>
      </w:r>
      <w:r w:rsidR="00CA3D78">
        <w:rPr>
          <w:rFonts w:ascii="Calibri" w:eastAsia="Times New Roman" w:hAnsi="Calibri" w:cs="Calibri"/>
          <w:lang w:val="de-DE"/>
        </w:rPr>
        <w:t>verfehlt weiterhin die Zielmarke</w:t>
      </w:r>
      <w:r>
        <w:rPr>
          <w:rFonts w:ascii="Calibri" w:eastAsia="Times New Roman" w:hAnsi="Calibri" w:cs="Calibri"/>
          <w:lang w:val="de-DE"/>
        </w:rPr>
        <w:t xml:space="preserve"> und der jüngste Einkaufsmanagerindex (EMI) befand sich nach wie vor nur knapp über 50,0, der Schwelle zwischen Expansion und </w:t>
      </w:r>
      <w:r w:rsidR="00CA3D78">
        <w:rPr>
          <w:rFonts w:ascii="Calibri" w:eastAsia="Times New Roman" w:hAnsi="Calibri" w:cs="Calibri"/>
          <w:lang w:val="de-DE"/>
        </w:rPr>
        <w:t>Rückgang</w:t>
      </w:r>
      <w:r>
        <w:rPr>
          <w:rFonts w:ascii="Calibri" w:eastAsia="Times New Roman" w:hAnsi="Calibri" w:cs="Calibri"/>
          <w:lang w:val="de-DE"/>
        </w:rPr>
        <w:t xml:space="preserve">. Die </w:t>
      </w:r>
      <w:r w:rsidR="00852016">
        <w:rPr>
          <w:rFonts w:ascii="Calibri" w:eastAsia="Times New Roman" w:hAnsi="Calibri" w:cs="Calibri"/>
          <w:lang w:val="de-DE"/>
        </w:rPr>
        <w:t>Produkti</w:t>
      </w:r>
      <w:r w:rsidR="00F01A0B">
        <w:rPr>
          <w:rFonts w:ascii="Calibri" w:eastAsia="Times New Roman" w:hAnsi="Calibri" w:cs="Calibri"/>
          <w:lang w:val="de-DE"/>
        </w:rPr>
        <w:t>on</w:t>
      </w:r>
      <w:r w:rsidR="00852016">
        <w:rPr>
          <w:rFonts w:ascii="Calibri" w:eastAsia="Times New Roman" w:hAnsi="Calibri" w:cs="Calibri"/>
          <w:lang w:val="de-DE"/>
        </w:rPr>
        <w:t xml:space="preserve"> </w:t>
      </w:r>
      <w:r>
        <w:rPr>
          <w:rFonts w:ascii="Calibri" w:eastAsia="Times New Roman" w:hAnsi="Calibri" w:cs="Calibri"/>
          <w:lang w:val="de-DE"/>
        </w:rPr>
        <w:t>belastet die gesamte Wirtschaftsaktivität und fiel deutlich unter den Wert von 50,0. Deutschland</w:t>
      </w:r>
      <w:r w:rsidR="00A4782C">
        <w:rPr>
          <w:rFonts w:ascii="Calibri" w:eastAsia="Times New Roman" w:hAnsi="Calibri" w:cs="Calibri"/>
          <w:lang w:val="de-DE"/>
        </w:rPr>
        <w:t>s Wirtschaft</w:t>
      </w:r>
      <w:r>
        <w:rPr>
          <w:rFonts w:ascii="Calibri" w:eastAsia="Times New Roman" w:hAnsi="Calibri" w:cs="Calibri"/>
          <w:lang w:val="de-DE"/>
        </w:rPr>
        <w:t xml:space="preserve"> </w:t>
      </w:r>
      <w:r w:rsidR="00A4782C">
        <w:rPr>
          <w:rFonts w:ascii="Calibri" w:eastAsia="Times New Roman" w:hAnsi="Calibri" w:cs="Calibri"/>
          <w:lang w:val="de-DE"/>
        </w:rPr>
        <w:t>schrumpft</w:t>
      </w:r>
      <w:r>
        <w:rPr>
          <w:rFonts w:ascii="Calibri" w:eastAsia="Times New Roman" w:hAnsi="Calibri" w:cs="Calibri"/>
          <w:lang w:val="de-DE"/>
        </w:rPr>
        <w:t xml:space="preserve"> im vierten Monat in Folge. </w:t>
      </w:r>
    </w:p>
    <w:p w14:paraId="3382C8E8" w14:textId="77777777" w:rsidR="00592314" w:rsidRPr="00E00AE9" w:rsidRDefault="00592314" w:rsidP="00592314">
      <w:pPr>
        <w:spacing w:after="0" w:line="240" w:lineRule="auto"/>
        <w:rPr>
          <w:rFonts w:eastAsia="Times New Roman"/>
          <w:b/>
          <w:lang w:val="de-DE"/>
        </w:rPr>
      </w:pPr>
    </w:p>
    <w:p w14:paraId="3B623AE2" w14:textId="24FB192F" w:rsidR="00592314" w:rsidRPr="00E00AE9" w:rsidRDefault="00592314" w:rsidP="00592314">
      <w:pPr>
        <w:spacing w:after="0" w:line="240" w:lineRule="auto"/>
        <w:rPr>
          <w:rFonts w:eastAsia="Times New Roman"/>
          <w:lang w:val="de-DE"/>
        </w:rPr>
      </w:pPr>
      <w:bookmarkStart w:id="1" w:name="_Hlk7538332"/>
      <w:r>
        <w:rPr>
          <w:rFonts w:eastAsia="Times New Roman"/>
          <w:lang w:val="de-DE"/>
        </w:rPr>
        <w:t>Vor diesem Hintergrund sollten Anleger weiterhin Enhanced-Yield-Strategien für ihre Kernanleiheportfolios in Erwägung ziehen</w:t>
      </w:r>
      <w:r w:rsidR="003524A3">
        <w:rPr>
          <w:rFonts w:eastAsia="Times New Roman"/>
          <w:lang w:val="de-DE"/>
        </w:rPr>
        <w:t xml:space="preserve"> und dabei</w:t>
      </w:r>
      <w:r>
        <w:rPr>
          <w:rFonts w:eastAsia="Times New Roman"/>
          <w:lang w:val="de-DE"/>
        </w:rPr>
        <w:t xml:space="preserve"> </w:t>
      </w:r>
      <w:r w:rsidR="003524A3">
        <w:rPr>
          <w:rFonts w:eastAsia="Times New Roman"/>
          <w:lang w:val="de-DE"/>
        </w:rPr>
        <w:t xml:space="preserve">die </w:t>
      </w:r>
      <w:r>
        <w:rPr>
          <w:rFonts w:eastAsia="Times New Roman"/>
          <w:lang w:val="de-DE"/>
        </w:rPr>
        <w:t>bekannte</w:t>
      </w:r>
      <w:r w:rsidR="003524A3">
        <w:rPr>
          <w:rFonts w:eastAsia="Times New Roman"/>
          <w:lang w:val="de-DE"/>
        </w:rPr>
        <w:t>n</w:t>
      </w:r>
      <w:r>
        <w:rPr>
          <w:rFonts w:eastAsia="Times New Roman"/>
          <w:lang w:val="de-DE"/>
        </w:rPr>
        <w:t xml:space="preserve"> Risikoprofile </w:t>
      </w:r>
      <w:r w:rsidR="003524A3">
        <w:rPr>
          <w:rFonts w:eastAsia="Times New Roman"/>
          <w:lang w:val="de-DE"/>
        </w:rPr>
        <w:t>beibehalten</w:t>
      </w:r>
      <w:r>
        <w:rPr>
          <w:rFonts w:eastAsia="Times New Roman"/>
          <w:lang w:val="de-DE"/>
        </w:rPr>
        <w:t xml:space="preserve">. Anleger sollten auch darauf achten, dass die Duration nicht zu </w:t>
      </w:r>
      <w:r w:rsidR="003447E0">
        <w:rPr>
          <w:rFonts w:eastAsia="Times New Roman"/>
          <w:lang w:val="de-DE"/>
        </w:rPr>
        <w:t>weit reicht</w:t>
      </w:r>
      <w:r>
        <w:rPr>
          <w:rFonts w:eastAsia="Times New Roman"/>
          <w:lang w:val="de-DE"/>
        </w:rPr>
        <w:t>. Die aktuelle Form der Renditekurve weist aber darauf hin, dass eine Verlängerung innerhalb bestimmter Grenzen in Betracht gezogen werden könnte. Im Gegensatz zu anderen inversen/negativen Verhältnissen am Markt der US-Staatsanleihen bleibt der Spread zwischen den Renditen zwei- und zehnjähriger deutscher Bundesanleihen deutlich im positiven Bereich.</w:t>
      </w:r>
    </w:p>
    <w:bookmarkEnd w:id="1"/>
    <w:p w14:paraId="4279B855" w14:textId="77777777" w:rsidR="00592314" w:rsidRPr="00E00AE9" w:rsidRDefault="00592314" w:rsidP="00592314">
      <w:pPr>
        <w:spacing w:after="0" w:line="240" w:lineRule="auto"/>
        <w:rPr>
          <w:rFonts w:eastAsia="Times New Roman"/>
          <w:lang w:val="de-DE"/>
        </w:rPr>
      </w:pPr>
    </w:p>
    <w:p w14:paraId="52A1729D" w14:textId="77777777" w:rsidR="00592314" w:rsidRPr="00E00AE9" w:rsidRDefault="00592314" w:rsidP="00592314">
      <w:pPr>
        <w:spacing w:after="0" w:line="240" w:lineRule="auto"/>
        <w:rPr>
          <w:lang w:val="de-DE"/>
        </w:rPr>
      </w:pPr>
    </w:p>
    <w:p w14:paraId="32972D95" w14:textId="328AB575" w:rsidR="00D46D32" w:rsidRPr="00CC5706" w:rsidRDefault="00D46D32">
      <w:pPr>
        <w:rPr>
          <w:rFonts w:cstheme="minorHAnsi"/>
          <w:b/>
          <w:color w:val="595959" w:themeColor="text1" w:themeTint="A6"/>
          <w:lang w:val="de-DE"/>
        </w:rPr>
      </w:pPr>
      <w:r w:rsidRPr="00CC5706">
        <w:rPr>
          <w:rFonts w:cstheme="minorHAnsi"/>
          <w:b/>
          <w:color w:val="595959" w:themeColor="text1" w:themeTint="A6"/>
          <w:lang w:val="de-DE"/>
        </w:rPr>
        <w:br w:type="page"/>
      </w:r>
    </w:p>
    <w:p w14:paraId="35A54C3A" w14:textId="77777777" w:rsidR="00F67E33" w:rsidRPr="00CC5706" w:rsidRDefault="00F67E33" w:rsidP="00472199">
      <w:pPr>
        <w:rPr>
          <w:rFonts w:cstheme="minorHAnsi"/>
          <w:b/>
          <w:color w:val="595959" w:themeColor="text1" w:themeTint="A6"/>
          <w:u w:val="single"/>
          <w:lang w:val="de-DE"/>
        </w:rPr>
      </w:pPr>
      <w:r w:rsidRPr="00CC5706">
        <w:rPr>
          <w:rFonts w:cstheme="minorHAnsi"/>
          <w:b/>
          <w:color w:val="595959" w:themeColor="text1" w:themeTint="A6"/>
          <w:u w:val="single"/>
          <w:lang w:val="de-DE"/>
        </w:rPr>
        <w:lastRenderedPageBreak/>
        <w:t>Wichtige Informationen</w:t>
      </w:r>
    </w:p>
    <w:p w14:paraId="216A2138" w14:textId="77777777" w:rsidR="00F67E33" w:rsidRPr="0023174E" w:rsidRDefault="00F67E33" w:rsidP="00472199">
      <w:pPr>
        <w:rPr>
          <w:rFonts w:cstheme="minorHAnsi"/>
          <w:iCs/>
          <w:color w:val="595959" w:themeColor="text1" w:themeTint="A6"/>
          <w:lang w:val="de-DE"/>
        </w:rPr>
      </w:pPr>
      <w:r w:rsidRPr="0023174E">
        <w:rPr>
          <w:rFonts w:cstheme="minorHAnsi"/>
          <w:b/>
          <w:bCs/>
          <w:iCs/>
          <w:color w:val="595959" w:themeColor="text1" w:themeTint="A6"/>
          <w:lang w:val="de-DE"/>
        </w:rPr>
        <w:t xml:space="preserve">Im Europäischen Wirtschaftsraum („EWR“) herausgegebene Mitteilungen: </w:t>
      </w:r>
      <w:r w:rsidRPr="0023174E">
        <w:rPr>
          <w:rFonts w:cstheme="minorHAnsi"/>
          <w:iCs/>
          <w:color w:val="595959" w:themeColor="text1" w:themeTint="A6"/>
          <w:lang w:val="de-DE"/>
        </w:rPr>
        <w:t xml:space="preserve">Dieses Dokument wurde von WisdomTree </w:t>
      </w:r>
      <w:proofErr w:type="spellStart"/>
      <w:r w:rsidRPr="0023174E">
        <w:rPr>
          <w:rFonts w:cstheme="minorHAnsi"/>
          <w:iCs/>
          <w:color w:val="595959" w:themeColor="text1" w:themeTint="A6"/>
          <w:lang w:val="de-DE"/>
        </w:rPr>
        <w:t>Ireland</w:t>
      </w:r>
      <w:proofErr w:type="spellEnd"/>
      <w:r w:rsidRPr="0023174E">
        <w:rPr>
          <w:rFonts w:cstheme="minorHAnsi"/>
          <w:iCs/>
          <w:color w:val="595959" w:themeColor="text1" w:themeTint="A6"/>
          <w:lang w:val="de-DE"/>
        </w:rPr>
        <w:t xml:space="preserve"> Limited, einer von der Central Bank of </w:t>
      </w:r>
      <w:proofErr w:type="spellStart"/>
      <w:r w:rsidRPr="0023174E">
        <w:rPr>
          <w:rFonts w:cstheme="minorHAnsi"/>
          <w:iCs/>
          <w:color w:val="595959" w:themeColor="text1" w:themeTint="A6"/>
          <w:lang w:val="de-DE"/>
        </w:rPr>
        <w:t>Ireland</w:t>
      </w:r>
      <w:proofErr w:type="spellEnd"/>
      <w:r w:rsidRPr="0023174E">
        <w:rPr>
          <w:rFonts w:cstheme="minorHAnsi"/>
          <w:iCs/>
          <w:color w:val="595959" w:themeColor="text1" w:themeTint="A6"/>
          <w:lang w:val="de-DE"/>
        </w:rPr>
        <w:t xml:space="preserve"> zugelassenen und regulierten Gesellschaft, herausgegeben und genehmigt.</w:t>
      </w:r>
    </w:p>
    <w:p w14:paraId="7F891424" w14:textId="77777777" w:rsidR="00F67E33" w:rsidRPr="00CC5706" w:rsidRDefault="00F67E33" w:rsidP="00472199">
      <w:pPr>
        <w:rPr>
          <w:rFonts w:cstheme="minorHAnsi"/>
          <w:b/>
          <w:bCs/>
          <w:iCs/>
          <w:color w:val="595959" w:themeColor="text1" w:themeTint="A6"/>
          <w:lang w:val="de-DE"/>
        </w:rPr>
      </w:pPr>
      <w:r w:rsidRPr="00CC5706">
        <w:rPr>
          <w:rFonts w:cstheme="minorHAnsi"/>
          <w:b/>
          <w:bCs/>
          <w:iCs/>
          <w:color w:val="595959" w:themeColor="text1" w:themeTint="A6"/>
          <w:lang w:val="de-DE"/>
        </w:rPr>
        <w:t xml:space="preserve">In Ländern außerhalb des EWR herausgegebene Mitteilungen: </w:t>
      </w:r>
      <w:r w:rsidRPr="00CC5706">
        <w:rPr>
          <w:rFonts w:cstheme="minorHAnsi"/>
          <w:iCs/>
          <w:color w:val="595959" w:themeColor="text1" w:themeTint="A6"/>
          <w:lang w:val="de-DE"/>
        </w:rPr>
        <w:t>Dieses Dokument wurde von WisdomTree UK Limited, einer von der United Kingdom Financial Conduct Authority zugelassenen und regulierten Gesellschaft, herausgegeben und genehmigt.</w:t>
      </w:r>
    </w:p>
    <w:p w14:paraId="48D6AF20" w14:textId="77777777" w:rsidR="00F67E33" w:rsidRPr="00CC5706" w:rsidRDefault="00F67E33" w:rsidP="00472199">
      <w:pPr>
        <w:rPr>
          <w:rFonts w:cstheme="minorHAnsi"/>
          <w:iCs/>
          <w:color w:val="595959" w:themeColor="text1" w:themeTint="A6"/>
          <w:lang w:val="de-DE"/>
        </w:rPr>
      </w:pPr>
      <w:r w:rsidRPr="00CC5706">
        <w:rPr>
          <w:rFonts w:cstheme="minorHAnsi"/>
          <w:iCs/>
          <w:color w:val="595959" w:themeColor="text1" w:themeTint="A6"/>
          <w:lang w:val="de-DE"/>
        </w:rPr>
        <w:t xml:space="preserve">WisdomTree </w:t>
      </w:r>
      <w:proofErr w:type="spellStart"/>
      <w:r w:rsidRPr="00CC5706">
        <w:rPr>
          <w:rFonts w:cstheme="minorHAnsi"/>
          <w:iCs/>
          <w:color w:val="595959" w:themeColor="text1" w:themeTint="A6"/>
          <w:lang w:val="de-DE"/>
        </w:rPr>
        <w:t>Ireland</w:t>
      </w:r>
      <w:proofErr w:type="spellEnd"/>
      <w:r w:rsidRPr="00CC5706">
        <w:rPr>
          <w:rFonts w:cstheme="minorHAnsi"/>
          <w:iCs/>
          <w:color w:val="595959" w:themeColor="text1" w:themeTint="A6"/>
          <w:lang w:val="de-DE"/>
        </w:rPr>
        <w:t xml:space="preserve"> </w:t>
      </w:r>
      <w:proofErr w:type="gramStart"/>
      <w:r w:rsidRPr="00CC5706">
        <w:rPr>
          <w:rFonts w:cstheme="minorHAnsi"/>
          <w:iCs/>
          <w:color w:val="595959" w:themeColor="text1" w:themeTint="A6"/>
          <w:lang w:val="de-DE"/>
        </w:rPr>
        <w:t>Limited</w:t>
      </w:r>
      <w:proofErr w:type="gramEnd"/>
      <w:r w:rsidRPr="00CC5706">
        <w:rPr>
          <w:rFonts w:cstheme="minorHAnsi"/>
          <w:iCs/>
          <w:color w:val="595959" w:themeColor="text1" w:themeTint="A6"/>
          <w:lang w:val="de-DE"/>
        </w:rPr>
        <w:t xml:space="preserve"> und WisdomTree UK Limited werden jeweils als „WisdomTree“ bezeichnet. </w:t>
      </w:r>
      <w:r w:rsidRPr="00CC5706">
        <w:rPr>
          <w:rFonts w:cstheme="minorHAnsi"/>
          <w:color w:val="595959" w:themeColor="text1" w:themeTint="A6"/>
          <w:lang w:val="de-DE"/>
        </w:rPr>
        <w:t xml:space="preserve">Unsere Richtlinie über Interessenkonflikte und unser Verzeichnis sind auf Anfrage erhältlich. </w:t>
      </w:r>
    </w:p>
    <w:p w14:paraId="6F0936D0" w14:textId="77777777" w:rsidR="00F67E33" w:rsidRPr="00CC5706" w:rsidRDefault="00F67E33" w:rsidP="00472199">
      <w:pPr>
        <w:rPr>
          <w:rFonts w:cstheme="minorHAnsi"/>
          <w:color w:val="595959" w:themeColor="text1" w:themeTint="A6"/>
          <w:lang w:val="de-DE"/>
        </w:rPr>
      </w:pPr>
      <w:r w:rsidRPr="00CC5706">
        <w:rPr>
          <w:rFonts w:cstheme="minorHAnsi"/>
          <w:b/>
          <w:color w:val="595959" w:themeColor="text1" w:themeTint="A6"/>
          <w:lang w:val="de-DE"/>
        </w:rPr>
        <w:t xml:space="preserve">Nur für professionelle Kunden. Die in diesem Dokument enthaltenen Informationen dienen ausschließlich Ihrer Information und stellen weder ein Angebot zum Verkauf bzw. eine Aufforderung oder ein Angebot zum Kauf von Wertpapieren oder Anteilen dar. Dieses Dokument sollte nicht als Basis für eine Anlageentscheidung verwendet werden. Anlagen können an Wert zunehmen oder verlieren und Sie können einen Teil oder den gesamten Betrag der Anlage verlieren. Die Wertentwicklung in der Vergangenheit ist nicht notwendigerweise ein Hinweis auf zukünftige Ergebnisse. Anlageentscheidungen sollten auf den Angaben im entsprechenden Prospekt sowie auf unabhängiger Anlage-, Steuer- und Rechtsberatung basieren. </w:t>
      </w:r>
    </w:p>
    <w:p w14:paraId="4F88C1BF" w14:textId="77777777" w:rsidR="00F67E33" w:rsidRPr="00CC5706" w:rsidRDefault="00F67E33" w:rsidP="00472199">
      <w:pPr>
        <w:rPr>
          <w:rFonts w:cstheme="minorHAnsi"/>
          <w:color w:val="595959" w:themeColor="text1" w:themeTint="A6"/>
          <w:lang w:val="de-DE"/>
        </w:rPr>
      </w:pPr>
      <w:r w:rsidRPr="00CC5706">
        <w:rPr>
          <w:rFonts w:cstheme="minorHAnsi"/>
          <w:color w:val="595959" w:themeColor="text1" w:themeTint="A6"/>
          <w:lang w:val="de-DE"/>
        </w:rPr>
        <w:t xml:space="preserve">Bei diesem Dokument handelt es sich nicht um Werbung bzw. eine Maßnahme zum öffentlichen Angebot von Anteilen oder Wertpapieren in den USA oder einer zugehörigen Provinz bzw. einem zugehörigen Territorium der USA, und es darf unter keinen Umständen als solche verstanden werden. Weder dieses Dokument noch etwaige Kopien dieses Dokuments sollten in die USA mitgenommen, (direkt oder indirekt) übermittelt oder verteilt werden. </w:t>
      </w:r>
    </w:p>
    <w:p w14:paraId="4C7DA3B6" w14:textId="77777777" w:rsidR="00F67E33" w:rsidRPr="00CC5706" w:rsidRDefault="00F67E33" w:rsidP="00472199">
      <w:pPr>
        <w:rPr>
          <w:rFonts w:cstheme="minorHAnsi"/>
          <w:bCs/>
          <w:color w:val="595959" w:themeColor="text1" w:themeTint="A6"/>
          <w:lang w:val="de-DE"/>
        </w:rPr>
      </w:pPr>
      <w:r w:rsidRPr="00CC5706">
        <w:rPr>
          <w:rFonts w:cstheme="minorHAnsi"/>
          <w:bCs/>
          <w:color w:val="595959" w:themeColor="text1" w:themeTint="A6"/>
          <w:lang w:val="de-DE"/>
        </w:rPr>
        <w:t>Dieses Dokument kann unabhängige Marktkommentare enthalten, die von WisdomTree auf der Grundlage öffentlich zugänglicher Informationen erstellt wurden. Obwohl WisdomTree bestrebt ist, die Richtigkeit des Inhalts dieses Dokuments sicherzustellen, übernimmt WisdomTree keine Gewährleistung oder Garantie für seine Richtigkeit oder Genauigkeit. Die Drittanbieter, deren Dienste in Anspruch genommen werden, um die in diesem Dokument enthaltenen Informationen zu beziehen, übernehmen keine Gewährleistung oder Garantie jeglicher Art bezüglich dieser Daten. Dort, wo WisdomTree seine eigenen Ansichten in Bezug auf Produkte oder Marktaktivitäten äußert, können sich diese Auffassungen ändern. Weder WisdomTree, noch eines seiner verbundenen Unternehmen oder einer seiner jeweiligen leitenden Angestellten, Verwaltungsratsmitglieder, Partner oder Mitarbeiter übernimmt irgendeine Haftung für direkte Schäden oder Folgeschäden, die durch die Verwendung dieses Dokuments oder seines Inhalts entstehen.</w:t>
      </w:r>
    </w:p>
    <w:p w14:paraId="0AFE6978" w14:textId="77777777" w:rsidR="00F67E33" w:rsidRPr="00CC5706" w:rsidRDefault="00F67E33" w:rsidP="00472199">
      <w:pPr>
        <w:rPr>
          <w:rFonts w:cstheme="minorHAnsi"/>
          <w:color w:val="595959" w:themeColor="text1" w:themeTint="A6"/>
          <w:lang w:val="de-DE"/>
        </w:rPr>
      </w:pPr>
      <w:r w:rsidRPr="00CC5706">
        <w:rPr>
          <w:rFonts w:cstheme="minorHAnsi"/>
          <w:color w:val="595959" w:themeColor="text1" w:themeTint="A6"/>
          <w:lang w:val="de-DE"/>
        </w:rPr>
        <w:t xml:space="preserve">Dieses Dokument kann zukunftsorientierte Aussagen enthalten, einschließlich Aussagen hinsichtlich unserer aktuellen Erwartungen oder Einschätzungen im Hinblick auf die Wertentwicklung bestimmter Anlageklassen und/oder Sektoren. Zukunftsorientierte Aussagen unterliegen gewissen Risiken, Unsicherheiten und Annahmen. Es gibt keine Sicherheit, dass diese Aussagen zutreffen, und die tatsächlichen Ergebnisse können von den erwarteten Ergebnissen abweichen. </w:t>
      </w:r>
      <w:r w:rsidRPr="00CC5706">
        <w:rPr>
          <w:rFonts w:cstheme="minorHAnsi"/>
          <w:bCs/>
          <w:color w:val="595959" w:themeColor="text1" w:themeTint="A6"/>
          <w:lang w:val="de-DE"/>
        </w:rPr>
        <w:t>WisdomTree</w:t>
      </w:r>
      <w:r w:rsidRPr="00CC5706">
        <w:rPr>
          <w:rFonts w:cstheme="minorHAnsi"/>
          <w:color w:val="595959" w:themeColor="text1" w:themeTint="A6"/>
          <w:lang w:val="de-DE"/>
        </w:rPr>
        <w:t xml:space="preserve"> empfiehlt Ihnen deutlich, sich nicht in unangemessener Weise auf diese zukunftsgerichteten Aussagen zu verlassen.</w:t>
      </w:r>
    </w:p>
    <w:p w14:paraId="5D20C6BB" w14:textId="77777777" w:rsidR="00F67E33" w:rsidRPr="00CC5706" w:rsidRDefault="00F67E33" w:rsidP="00472199">
      <w:pPr>
        <w:rPr>
          <w:rFonts w:cstheme="minorHAnsi"/>
          <w:bCs/>
          <w:color w:val="595959" w:themeColor="text1" w:themeTint="A6"/>
          <w:lang w:val="de-DE"/>
        </w:rPr>
      </w:pPr>
      <w:r w:rsidRPr="00CC5706">
        <w:rPr>
          <w:rFonts w:cstheme="minorHAnsi"/>
          <w:bCs/>
          <w:color w:val="595959" w:themeColor="text1" w:themeTint="A6"/>
          <w:lang w:val="de-DE"/>
        </w:rPr>
        <w:lastRenderedPageBreak/>
        <w:t xml:space="preserve">Jegliche in diesem Dokument enthaltene historische Wertentwicklung kann u. U. auf Backtesting beruhen. Backtesting ist der Prozess, bei dem eine Anlagestrategie evaluiert wird, indem sie auf historische Daten angewandt wird, um zu simulieren, was die Wertentwicklung solch einer Strategie in der Vergangenheit gewesen wäre. Durch Backtesting erzielte Wertsteigerungen sind jedoch rein hypothetisch und werden in diesem Dokument einzig und allein zu Informationszwecken aufgeführt. Daten, die durch Backtesting gesammelt wurden, stellen keine tatsächlichen Wertsteigerungen dar und dürfen nicht als Indikator für tatsächliche oder zukünftige Wertsteigerungen angesehen werden. </w:t>
      </w:r>
    </w:p>
    <w:p w14:paraId="277452AB" w14:textId="38A070A0" w:rsidR="00471C0D" w:rsidRPr="00CC5706" w:rsidRDefault="00471C0D" w:rsidP="00471C0D">
      <w:pPr>
        <w:rPr>
          <w:rFonts w:cstheme="minorHAnsi"/>
          <w:b/>
          <w:color w:val="595959" w:themeColor="text1" w:themeTint="A6"/>
          <w:u w:val="single"/>
          <w:lang w:val="de-DE"/>
        </w:rPr>
      </w:pPr>
    </w:p>
    <w:sectPr w:rsidR="00471C0D" w:rsidRPr="00CC5706" w:rsidSect="00A709E9">
      <w:headerReference w:type="default" r:id="rId11"/>
      <w:footerReference w:type="default" r:id="rId12"/>
      <w:headerReference w:type="first" r:id="rId13"/>
      <w:footerReference w:type="first" r:id="rId14"/>
      <w:pgSz w:w="11906" w:h="16838"/>
      <w:pgMar w:top="1985"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1F4F" w14:textId="77777777" w:rsidR="002A3CE8" w:rsidRDefault="002A3CE8" w:rsidP="00771BFA">
      <w:pPr>
        <w:spacing w:after="0" w:line="240" w:lineRule="auto"/>
      </w:pPr>
      <w:r>
        <w:separator/>
      </w:r>
    </w:p>
  </w:endnote>
  <w:endnote w:type="continuationSeparator" w:id="0">
    <w:p w14:paraId="7CD37C32" w14:textId="77777777" w:rsidR="002A3CE8" w:rsidRDefault="002A3CE8" w:rsidP="00771BFA">
      <w:pPr>
        <w:spacing w:after="0" w:line="240" w:lineRule="auto"/>
      </w:pPr>
      <w:r>
        <w:continuationSeparator/>
      </w:r>
    </w:p>
  </w:endnote>
  <w:endnote w:type="continuationNotice" w:id="1">
    <w:p w14:paraId="25E17E00" w14:textId="77777777" w:rsidR="002A3CE8" w:rsidRDefault="002A3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C3BE" w14:textId="789165A6" w:rsidR="00771BFA" w:rsidRDefault="00771BFA">
    <w:pPr>
      <w:pStyle w:val="Fuzeile"/>
    </w:pPr>
    <w:r>
      <w:rPr>
        <w:noProof/>
      </w:rPr>
      <w:drawing>
        <wp:anchor distT="0" distB="0" distL="114300" distR="114300" simplePos="0" relativeHeight="251658241" behindDoc="0" locked="0" layoutInCell="1" allowOverlap="1" wp14:anchorId="7CF58B49" wp14:editId="2DC0ADCE">
          <wp:simplePos x="0" y="0"/>
          <wp:positionH relativeFrom="column">
            <wp:posOffset>-828040</wp:posOffset>
          </wp:positionH>
          <wp:positionV relativeFrom="paragraph">
            <wp:posOffset>-212725</wp:posOffset>
          </wp:positionV>
          <wp:extent cx="6678000" cy="63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5117"/>
                  <a:stretch/>
                </pic:blipFill>
                <pic:spPr bwMode="auto">
                  <a:xfrm>
                    <a:off x="0" y="0"/>
                    <a:ext cx="6678000" cy="6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AF2C" w14:textId="0CCAFC39" w:rsidR="00771BFA" w:rsidRDefault="00771BFA">
    <w:pPr>
      <w:pStyle w:val="Fuzeile"/>
    </w:pPr>
    <w:r>
      <w:rPr>
        <w:noProof/>
      </w:rPr>
      <w:drawing>
        <wp:anchor distT="0" distB="0" distL="114300" distR="114300" simplePos="0" relativeHeight="251658240" behindDoc="0" locked="0" layoutInCell="1" allowOverlap="1" wp14:anchorId="623AC84F" wp14:editId="12942C18">
          <wp:simplePos x="0" y="0"/>
          <wp:positionH relativeFrom="column">
            <wp:posOffset>-827405</wp:posOffset>
          </wp:positionH>
          <wp:positionV relativeFrom="paragraph">
            <wp:posOffset>-212042</wp:posOffset>
          </wp:positionV>
          <wp:extent cx="6676845" cy="6369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5117"/>
                  <a:stretch/>
                </pic:blipFill>
                <pic:spPr bwMode="auto">
                  <a:xfrm>
                    <a:off x="0" y="0"/>
                    <a:ext cx="6676845" cy="63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FA21" w14:textId="77777777" w:rsidR="002A3CE8" w:rsidRDefault="002A3CE8" w:rsidP="00771BFA">
      <w:pPr>
        <w:spacing w:after="0" w:line="240" w:lineRule="auto"/>
      </w:pPr>
      <w:r>
        <w:separator/>
      </w:r>
    </w:p>
  </w:footnote>
  <w:footnote w:type="continuationSeparator" w:id="0">
    <w:p w14:paraId="4AA369C6" w14:textId="77777777" w:rsidR="002A3CE8" w:rsidRDefault="002A3CE8" w:rsidP="00771BFA">
      <w:pPr>
        <w:spacing w:after="0" w:line="240" w:lineRule="auto"/>
      </w:pPr>
      <w:r>
        <w:continuationSeparator/>
      </w:r>
    </w:p>
  </w:footnote>
  <w:footnote w:type="continuationNotice" w:id="1">
    <w:p w14:paraId="614980EC" w14:textId="77777777" w:rsidR="002A3CE8" w:rsidRDefault="002A3CE8">
      <w:pPr>
        <w:spacing w:after="0" w:line="240" w:lineRule="auto"/>
      </w:pPr>
    </w:p>
  </w:footnote>
  <w:footnote w:id="2">
    <w:p w14:paraId="05882A81" w14:textId="77777777" w:rsidR="00592314" w:rsidRPr="00CC5706" w:rsidRDefault="00592314" w:rsidP="00592314">
      <w:pPr>
        <w:pStyle w:val="Funotentext"/>
        <w:rPr>
          <w:rFonts w:cstheme="minorHAnsi"/>
          <w:sz w:val="16"/>
          <w:szCs w:val="16"/>
          <w:lang w:val="de-DE"/>
        </w:rPr>
      </w:pPr>
      <w:r w:rsidRPr="00CC5706">
        <w:rPr>
          <w:rStyle w:val="Funotenzeichen"/>
          <w:rFonts w:cstheme="minorHAnsi"/>
          <w:sz w:val="16"/>
          <w:szCs w:val="16"/>
          <w:lang w:val="de-DE"/>
        </w:rPr>
        <w:footnoteRef/>
      </w:r>
      <w:r w:rsidRPr="00CC5706">
        <w:rPr>
          <w:rFonts w:cstheme="minorHAnsi"/>
          <w:sz w:val="16"/>
          <w:szCs w:val="16"/>
          <w:lang w:val="de-DE"/>
        </w:rPr>
        <w:t xml:space="preserve"> Ein dritter Teil des </w:t>
      </w:r>
      <w:r w:rsidRPr="00CC5706">
        <w:rPr>
          <w:rFonts w:cstheme="minorHAnsi"/>
          <w:sz w:val="16"/>
          <w:szCs w:val="16"/>
          <w:shd w:val="clear" w:color="auto" w:fill="FFFFFF"/>
          <w:lang w:val="de-DE"/>
        </w:rPr>
        <w:t>Finanzierungsprogramms der Europäischen Zentralbank.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274A" w14:textId="24923508" w:rsidR="00771BFA" w:rsidRDefault="00A709E9">
    <w:pPr>
      <w:pStyle w:val="Kopfzeile"/>
    </w:pPr>
    <w:r w:rsidRPr="00A709E9">
      <w:rPr>
        <w:noProof/>
      </w:rPr>
      <w:drawing>
        <wp:anchor distT="0" distB="0" distL="114300" distR="114300" simplePos="0" relativeHeight="251658243" behindDoc="0" locked="0" layoutInCell="1" allowOverlap="1" wp14:anchorId="5F87EC00" wp14:editId="34C75C0C">
          <wp:simplePos x="0" y="0"/>
          <wp:positionH relativeFrom="margin">
            <wp:align>center</wp:align>
          </wp:positionH>
          <wp:positionV relativeFrom="paragraph">
            <wp:posOffset>64135</wp:posOffset>
          </wp:positionV>
          <wp:extent cx="7228205"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28205" cy="5334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AE05" w14:textId="327AF92F" w:rsidR="00771BFA" w:rsidRDefault="00A709E9">
    <w:pPr>
      <w:pStyle w:val="Kopfzeile"/>
    </w:pPr>
    <w:r>
      <w:rPr>
        <w:noProof/>
      </w:rPr>
      <w:drawing>
        <wp:anchor distT="0" distB="0" distL="114300" distR="114300" simplePos="0" relativeHeight="251658242" behindDoc="0" locked="0" layoutInCell="1" allowOverlap="1" wp14:anchorId="32B647B5" wp14:editId="3484176D">
          <wp:simplePos x="0" y="0"/>
          <wp:positionH relativeFrom="margin">
            <wp:posOffset>-771525</wp:posOffset>
          </wp:positionH>
          <wp:positionV relativeFrom="paragraph">
            <wp:posOffset>6350</wp:posOffset>
          </wp:positionV>
          <wp:extent cx="7267575" cy="96456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6757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FB"/>
    <w:rsid w:val="00010AF1"/>
    <w:rsid w:val="00013790"/>
    <w:rsid w:val="00034CDB"/>
    <w:rsid w:val="000464C9"/>
    <w:rsid w:val="000522F0"/>
    <w:rsid w:val="000F5D3B"/>
    <w:rsid w:val="0013033B"/>
    <w:rsid w:val="00134913"/>
    <w:rsid w:val="001978AC"/>
    <w:rsid w:val="001E1330"/>
    <w:rsid w:val="001F047B"/>
    <w:rsid w:val="00217884"/>
    <w:rsid w:val="00221DC4"/>
    <w:rsid w:val="002263DF"/>
    <w:rsid w:val="0023174E"/>
    <w:rsid w:val="00250890"/>
    <w:rsid w:val="00261611"/>
    <w:rsid w:val="002844E3"/>
    <w:rsid w:val="002A3CE8"/>
    <w:rsid w:val="003447E0"/>
    <w:rsid w:val="003524A3"/>
    <w:rsid w:val="00364BA2"/>
    <w:rsid w:val="0039187A"/>
    <w:rsid w:val="003941DF"/>
    <w:rsid w:val="003A69E5"/>
    <w:rsid w:val="003C09C9"/>
    <w:rsid w:val="003F7690"/>
    <w:rsid w:val="00422752"/>
    <w:rsid w:val="0044410D"/>
    <w:rsid w:val="00471C0D"/>
    <w:rsid w:val="00472199"/>
    <w:rsid w:val="004759D1"/>
    <w:rsid w:val="00484D75"/>
    <w:rsid w:val="004B127E"/>
    <w:rsid w:val="005141FB"/>
    <w:rsid w:val="005251C1"/>
    <w:rsid w:val="00526E3A"/>
    <w:rsid w:val="005323B5"/>
    <w:rsid w:val="00547E10"/>
    <w:rsid w:val="00592314"/>
    <w:rsid w:val="005C2158"/>
    <w:rsid w:val="006162A9"/>
    <w:rsid w:val="00633B20"/>
    <w:rsid w:val="006443A1"/>
    <w:rsid w:val="00644A8A"/>
    <w:rsid w:val="00680AED"/>
    <w:rsid w:val="0069570A"/>
    <w:rsid w:val="00701F3C"/>
    <w:rsid w:val="00707703"/>
    <w:rsid w:val="00742694"/>
    <w:rsid w:val="007628A1"/>
    <w:rsid w:val="00770017"/>
    <w:rsid w:val="00771BFA"/>
    <w:rsid w:val="00852016"/>
    <w:rsid w:val="008A3789"/>
    <w:rsid w:val="008C7025"/>
    <w:rsid w:val="00957C39"/>
    <w:rsid w:val="00994C34"/>
    <w:rsid w:val="009C6C58"/>
    <w:rsid w:val="009F0555"/>
    <w:rsid w:val="00A14995"/>
    <w:rsid w:val="00A4782C"/>
    <w:rsid w:val="00A709E9"/>
    <w:rsid w:val="00A83C93"/>
    <w:rsid w:val="00AE43C9"/>
    <w:rsid w:val="00AE5EA1"/>
    <w:rsid w:val="00B008B8"/>
    <w:rsid w:val="00BB7D23"/>
    <w:rsid w:val="00BF22FC"/>
    <w:rsid w:val="00BF6A8D"/>
    <w:rsid w:val="00C11EFD"/>
    <w:rsid w:val="00C41277"/>
    <w:rsid w:val="00C903BF"/>
    <w:rsid w:val="00CA3D78"/>
    <w:rsid w:val="00CB1721"/>
    <w:rsid w:val="00CC5706"/>
    <w:rsid w:val="00CD039D"/>
    <w:rsid w:val="00CE1306"/>
    <w:rsid w:val="00D32636"/>
    <w:rsid w:val="00D3484E"/>
    <w:rsid w:val="00D43D48"/>
    <w:rsid w:val="00D46D32"/>
    <w:rsid w:val="00D70466"/>
    <w:rsid w:val="00D74FBE"/>
    <w:rsid w:val="00DE43FB"/>
    <w:rsid w:val="00E63455"/>
    <w:rsid w:val="00E648CE"/>
    <w:rsid w:val="00E6655D"/>
    <w:rsid w:val="00E960F3"/>
    <w:rsid w:val="00ED6349"/>
    <w:rsid w:val="00F01A0B"/>
    <w:rsid w:val="00F67E33"/>
    <w:rsid w:val="00FD5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41CB6"/>
  <w15:chartTrackingRefBased/>
  <w15:docId w15:val="{D077614B-CA9C-48EB-9EC9-69FBBBEB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644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1BF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71BFA"/>
  </w:style>
  <w:style w:type="paragraph" w:styleId="Fuzeile">
    <w:name w:val="footer"/>
    <w:basedOn w:val="Standard"/>
    <w:link w:val="FuzeileZchn"/>
    <w:uiPriority w:val="99"/>
    <w:unhideWhenUsed/>
    <w:rsid w:val="00771BF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71BFA"/>
  </w:style>
  <w:style w:type="character" w:customStyle="1" w:styleId="berschrift2Zchn">
    <w:name w:val="Überschrift 2 Zchn"/>
    <w:basedOn w:val="Absatz-Standardschriftart"/>
    <w:link w:val="berschrift2"/>
    <w:uiPriority w:val="9"/>
    <w:rsid w:val="00644A8A"/>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644A8A"/>
    <w:rPr>
      <w:color w:val="0563C1" w:themeColor="hyperlink"/>
      <w:u w:val="single"/>
    </w:rPr>
  </w:style>
  <w:style w:type="paragraph" w:styleId="Funotentext">
    <w:name w:val="footnote text"/>
    <w:basedOn w:val="Standard"/>
    <w:link w:val="FunotentextZchn"/>
    <w:uiPriority w:val="99"/>
    <w:semiHidden/>
    <w:unhideWhenUsed/>
    <w:rsid w:val="003F7690"/>
    <w:pPr>
      <w:spacing w:after="0" w:line="240" w:lineRule="auto"/>
    </w:pPr>
    <w:rPr>
      <w:rFonts w:ascii="Arial" w:eastAsia="Arial" w:hAnsi="Arial" w:cs="Arial"/>
      <w:sz w:val="20"/>
      <w:szCs w:val="20"/>
      <w:lang w:val="fr-FR"/>
    </w:rPr>
  </w:style>
  <w:style w:type="character" w:customStyle="1" w:styleId="FunotentextZchn">
    <w:name w:val="Fußnotentext Zchn"/>
    <w:basedOn w:val="Absatz-Standardschriftart"/>
    <w:link w:val="Funotentext"/>
    <w:uiPriority w:val="99"/>
    <w:semiHidden/>
    <w:rsid w:val="003F7690"/>
    <w:rPr>
      <w:rFonts w:ascii="Arial" w:eastAsia="Arial" w:hAnsi="Arial" w:cs="Arial"/>
      <w:sz w:val="20"/>
      <w:szCs w:val="20"/>
      <w:lang w:val="fr-FR"/>
    </w:rPr>
  </w:style>
  <w:style w:type="paragraph" w:styleId="Kommentartext">
    <w:name w:val="annotation text"/>
    <w:basedOn w:val="Standard"/>
    <w:link w:val="KommentartextZchn"/>
    <w:uiPriority w:val="99"/>
    <w:semiHidden/>
    <w:unhideWhenUsed/>
    <w:rsid w:val="003F7690"/>
    <w:pPr>
      <w:spacing w:line="240" w:lineRule="auto"/>
    </w:pPr>
    <w:rPr>
      <w:sz w:val="20"/>
      <w:szCs w:val="20"/>
      <w:lang w:val="fr-FR"/>
    </w:rPr>
  </w:style>
  <w:style w:type="character" w:customStyle="1" w:styleId="KommentartextZchn">
    <w:name w:val="Kommentartext Zchn"/>
    <w:basedOn w:val="Absatz-Standardschriftart"/>
    <w:link w:val="Kommentartext"/>
    <w:uiPriority w:val="99"/>
    <w:semiHidden/>
    <w:rsid w:val="003F7690"/>
    <w:rPr>
      <w:sz w:val="20"/>
      <w:szCs w:val="20"/>
      <w:lang w:val="fr-FR"/>
    </w:rPr>
  </w:style>
  <w:style w:type="character" w:styleId="Funotenzeichen">
    <w:name w:val="footnote reference"/>
    <w:basedOn w:val="Absatz-Standardschriftart"/>
    <w:uiPriority w:val="99"/>
    <w:semiHidden/>
    <w:unhideWhenUsed/>
    <w:rsid w:val="003F7690"/>
    <w:rPr>
      <w:vertAlign w:val="superscript"/>
    </w:rPr>
  </w:style>
  <w:style w:type="character" w:styleId="Kommentarzeichen">
    <w:name w:val="annotation reference"/>
    <w:basedOn w:val="Absatz-Standardschriftart"/>
    <w:uiPriority w:val="99"/>
    <w:semiHidden/>
    <w:unhideWhenUsed/>
    <w:rsid w:val="003F7690"/>
    <w:rPr>
      <w:sz w:val="16"/>
      <w:szCs w:val="16"/>
    </w:rPr>
  </w:style>
  <w:style w:type="paragraph" w:styleId="Sprechblasentext">
    <w:name w:val="Balloon Text"/>
    <w:basedOn w:val="Standard"/>
    <w:link w:val="SprechblasentextZchn"/>
    <w:uiPriority w:val="99"/>
    <w:semiHidden/>
    <w:unhideWhenUsed/>
    <w:rsid w:val="003F76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7690"/>
    <w:rPr>
      <w:rFonts w:ascii="Segoe UI" w:hAnsi="Segoe UI" w:cs="Segoe UI"/>
      <w:sz w:val="18"/>
      <w:szCs w:val="18"/>
    </w:rPr>
  </w:style>
  <w:style w:type="character" w:styleId="NichtaufgelsteErwhnung">
    <w:name w:val="Unresolved Mention"/>
    <w:basedOn w:val="Absatz-Standardschriftart"/>
    <w:uiPriority w:val="99"/>
    <w:semiHidden/>
    <w:unhideWhenUsed/>
    <w:rsid w:val="003F7690"/>
    <w:rPr>
      <w:color w:val="605E5C"/>
      <w:shd w:val="clear" w:color="auto" w:fill="E1DFDD"/>
    </w:rPr>
  </w:style>
  <w:style w:type="table" w:styleId="Tabellenraster">
    <w:name w:val="Table Grid"/>
    <w:basedOn w:val="NormaleTabelle"/>
    <w:uiPriority w:val="39"/>
    <w:rsid w:val="0059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3174E"/>
    <w:pPr>
      <w:spacing w:after="0" w:line="240" w:lineRule="auto"/>
    </w:pPr>
  </w:style>
  <w:style w:type="paragraph" w:styleId="Kommentarthema">
    <w:name w:val="annotation subject"/>
    <w:basedOn w:val="Kommentartext"/>
    <w:next w:val="Kommentartext"/>
    <w:link w:val="KommentarthemaZchn"/>
    <w:uiPriority w:val="99"/>
    <w:semiHidden/>
    <w:unhideWhenUsed/>
    <w:rsid w:val="00AE5EA1"/>
    <w:rPr>
      <w:b/>
      <w:bCs/>
      <w:lang w:val="en-GB"/>
    </w:rPr>
  </w:style>
  <w:style w:type="character" w:customStyle="1" w:styleId="KommentarthemaZchn">
    <w:name w:val="Kommentarthema Zchn"/>
    <w:basedOn w:val="KommentartextZchn"/>
    <w:link w:val="Kommentarthema"/>
    <w:uiPriority w:val="99"/>
    <w:semiHidden/>
    <w:rsid w:val="00AE5EA1"/>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6676">
      <w:bodyDiv w:val="1"/>
      <w:marLeft w:val="0"/>
      <w:marRight w:val="0"/>
      <w:marTop w:val="0"/>
      <w:marBottom w:val="0"/>
      <w:divBdr>
        <w:top w:val="none" w:sz="0" w:space="0" w:color="auto"/>
        <w:left w:val="none" w:sz="0" w:space="0" w:color="auto"/>
        <w:bottom w:val="none" w:sz="0" w:space="0" w:color="auto"/>
        <w:right w:val="none" w:sz="0" w:space="0" w:color="auto"/>
      </w:divBdr>
    </w:div>
    <w:div w:id="591743380">
      <w:bodyDiv w:val="1"/>
      <w:marLeft w:val="0"/>
      <w:marRight w:val="0"/>
      <w:marTop w:val="0"/>
      <w:marBottom w:val="0"/>
      <w:divBdr>
        <w:top w:val="none" w:sz="0" w:space="0" w:color="auto"/>
        <w:left w:val="none" w:sz="0" w:space="0" w:color="auto"/>
        <w:bottom w:val="none" w:sz="0" w:space="0" w:color="auto"/>
        <w:right w:val="none" w:sz="0" w:space="0" w:color="auto"/>
      </w:divBdr>
    </w:div>
    <w:div w:id="660472426">
      <w:bodyDiv w:val="1"/>
      <w:marLeft w:val="0"/>
      <w:marRight w:val="0"/>
      <w:marTop w:val="0"/>
      <w:marBottom w:val="0"/>
      <w:divBdr>
        <w:top w:val="none" w:sz="0" w:space="0" w:color="auto"/>
        <w:left w:val="none" w:sz="0" w:space="0" w:color="auto"/>
        <w:bottom w:val="none" w:sz="0" w:space="0" w:color="auto"/>
        <w:right w:val="none" w:sz="0" w:space="0" w:color="auto"/>
      </w:divBdr>
    </w:div>
    <w:div w:id="681854259">
      <w:bodyDiv w:val="1"/>
      <w:marLeft w:val="0"/>
      <w:marRight w:val="0"/>
      <w:marTop w:val="0"/>
      <w:marBottom w:val="0"/>
      <w:divBdr>
        <w:top w:val="none" w:sz="0" w:space="0" w:color="auto"/>
        <w:left w:val="none" w:sz="0" w:space="0" w:color="auto"/>
        <w:bottom w:val="none" w:sz="0" w:space="0" w:color="auto"/>
        <w:right w:val="none" w:sz="0" w:space="0" w:color="auto"/>
      </w:divBdr>
    </w:div>
    <w:div w:id="1035541592">
      <w:bodyDiv w:val="1"/>
      <w:marLeft w:val="0"/>
      <w:marRight w:val="0"/>
      <w:marTop w:val="0"/>
      <w:marBottom w:val="0"/>
      <w:divBdr>
        <w:top w:val="none" w:sz="0" w:space="0" w:color="auto"/>
        <w:left w:val="none" w:sz="0" w:space="0" w:color="auto"/>
        <w:bottom w:val="none" w:sz="0" w:space="0" w:color="auto"/>
        <w:right w:val="none" w:sz="0" w:space="0" w:color="auto"/>
      </w:divBdr>
    </w:div>
    <w:div w:id="1069308686">
      <w:bodyDiv w:val="1"/>
      <w:marLeft w:val="0"/>
      <w:marRight w:val="0"/>
      <w:marTop w:val="0"/>
      <w:marBottom w:val="0"/>
      <w:divBdr>
        <w:top w:val="none" w:sz="0" w:space="0" w:color="auto"/>
        <w:left w:val="none" w:sz="0" w:space="0" w:color="auto"/>
        <w:bottom w:val="none" w:sz="0" w:space="0" w:color="auto"/>
        <w:right w:val="none" w:sz="0" w:space="0" w:color="auto"/>
      </w:divBdr>
    </w:div>
    <w:div w:id="1711539813">
      <w:bodyDiv w:val="1"/>
      <w:marLeft w:val="0"/>
      <w:marRight w:val="0"/>
      <w:marTop w:val="0"/>
      <w:marBottom w:val="0"/>
      <w:divBdr>
        <w:top w:val="none" w:sz="0" w:space="0" w:color="auto"/>
        <w:left w:val="none" w:sz="0" w:space="0" w:color="auto"/>
        <w:bottom w:val="none" w:sz="0" w:space="0" w:color="auto"/>
        <w:right w:val="none" w:sz="0" w:space="0" w:color="auto"/>
      </w:divBdr>
    </w:div>
    <w:div w:id="1803843074">
      <w:bodyDiv w:val="1"/>
      <w:marLeft w:val="0"/>
      <w:marRight w:val="0"/>
      <w:marTop w:val="0"/>
      <w:marBottom w:val="0"/>
      <w:divBdr>
        <w:top w:val="none" w:sz="0" w:space="0" w:color="auto"/>
        <w:left w:val="none" w:sz="0" w:space="0" w:color="auto"/>
        <w:bottom w:val="none" w:sz="0" w:space="0" w:color="auto"/>
        <w:right w:val="none" w:sz="0" w:space="0" w:color="auto"/>
      </w:divBdr>
    </w:div>
    <w:div w:id="19103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799453F87A48418948D37AB33CDF26" ma:contentTypeVersion="9" ma:contentTypeDescription="Ein neues Dokument erstellen." ma:contentTypeScope="" ma:versionID="0cd506f5d5775a5cf6c3e191f048c805">
  <xsd:schema xmlns:xsd="http://www.w3.org/2001/XMLSchema" xmlns:xs="http://www.w3.org/2001/XMLSchema" xmlns:p="http://schemas.microsoft.com/office/2006/metadata/properties" xmlns:ns2="ed34dd70-f4d6-4aa7-8980-eb0708e3f245" xmlns:ns3="9bec0dc6-3a0c-49ac-8ef3-a164b620d9e8" targetNamespace="http://schemas.microsoft.com/office/2006/metadata/properties" ma:root="true" ma:fieldsID="6de6e34be2e0b940e4cfcf04599ebff5" ns2:_="" ns3:_="">
    <xsd:import namespace="ed34dd70-f4d6-4aa7-8980-eb0708e3f245"/>
    <xsd:import namespace="9bec0dc6-3a0c-49ac-8ef3-a164b620d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4dd70-f4d6-4aa7-8980-eb0708e3f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c0dc6-3a0c-49ac-8ef3-a164b620d9e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05A33-EFFC-4434-BB06-AD9C1FD46474}">
  <ds:schemaRefs>
    <ds:schemaRef ds:uri="http://schemas.microsoft.com/office/2006/documentManagement/types"/>
    <ds:schemaRef ds:uri="9bec0dc6-3a0c-49ac-8ef3-a164b620d9e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d34dd70-f4d6-4aa7-8980-eb0708e3f245"/>
    <ds:schemaRef ds:uri="http://www.w3.org/XML/1998/namespace"/>
    <ds:schemaRef ds:uri="http://purl.org/dc/dcmitype/"/>
  </ds:schemaRefs>
</ds:datastoreItem>
</file>

<file path=customXml/itemProps2.xml><?xml version="1.0" encoding="utf-8"?>
<ds:datastoreItem xmlns:ds="http://schemas.openxmlformats.org/officeDocument/2006/customXml" ds:itemID="{1F510428-2519-4FDA-BA8C-3E33906169D7}">
  <ds:schemaRefs>
    <ds:schemaRef ds:uri="http://schemas.microsoft.com/sharepoint/v3/contenttype/forms"/>
  </ds:schemaRefs>
</ds:datastoreItem>
</file>

<file path=customXml/itemProps3.xml><?xml version="1.0" encoding="utf-8"?>
<ds:datastoreItem xmlns:ds="http://schemas.openxmlformats.org/officeDocument/2006/customXml" ds:itemID="{2C0A078E-AB3B-46A1-882C-AA33BEDA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4dd70-f4d6-4aa7-8980-eb0708e3f245"/>
    <ds:schemaRef ds:uri="9bec0dc6-3a0c-49ac-8ef3-a164b62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Serafini</dc:creator>
  <cp:keywords/>
  <dc:description/>
  <cp:lastModifiedBy>Philipp Höll</cp:lastModifiedBy>
  <cp:revision>45</cp:revision>
  <dcterms:created xsi:type="dcterms:W3CDTF">2019-05-14T09:02:00Z</dcterms:created>
  <dcterms:modified xsi:type="dcterms:W3CDTF">2019-05-29T08:54:00Z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0x010100FD799453F87A48418948D37AB33CDF26</vt:lpwstr>
  </property>
</Properties>
</file>