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page" w:tblpX="2282" w:tblpY="-2654"/>
        <w:tblOverlap w:val="never"/>
        <w:tblW w:w="2461" w:type="dxa"/>
        <w:tblLayout w:type="fixed"/>
        <w:tblCellMar>
          <w:left w:w="0" w:type="dxa"/>
          <w:right w:w="0" w:type="dxa"/>
        </w:tblCellMar>
        <w:tblLook w:val="00A0" w:firstRow="1" w:lastRow="0" w:firstColumn="1" w:lastColumn="0" w:noHBand="0" w:noVBand="0"/>
      </w:tblPr>
      <w:tblGrid>
        <w:gridCol w:w="2461"/>
      </w:tblGrid>
      <w:tr w:rsidR="00AE5499" w:rsidRPr="00D705A7" w14:paraId="76485020" w14:textId="77777777" w:rsidTr="00AE5499">
        <w:trPr>
          <w:trHeight w:hRule="exact" w:val="2384"/>
        </w:trPr>
        <w:tc>
          <w:tcPr>
            <w:tcW w:w="2461" w:type="dxa"/>
            <w:vAlign w:val="bottom"/>
          </w:tcPr>
          <w:p w14:paraId="0C24AE88" w14:textId="6E75E172" w:rsidR="00AE5499" w:rsidRPr="00D705A7" w:rsidRDefault="00AE5499" w:rsidP="00AE5499">
            <w:pPr>
              <w:pStyle w:val="05telfaxemailurl"/>
              <w:framePr w:hSpace="0" w:wrap="auto" w:vAnchor="margin" w:hAnchor="text" w:xAlign="left" w:yAlign="inline"/>
              <w:spacing w:line="180" w:lineRule="exact"/>
            </w:pPr>
          </w:p>
        </w:tc>
      </w:tr>
    </w:tbl>
    <w:p w14:paraId="215640AF" w14:textId="782790E3" w:rsidR="003039CF" w:rsidRPr="00BF511E" w:rsidRDefault="002B316E" w:rsidP="00777572">
      <w:pPr>
        <w:spacing w:line="270" w:lineRule="exact"/>
        <w:ind w:left="0"/>
        <w:rPr>
          <w:b/>
          <w:bCs/>
          <w:spacing w:val="-2"/>
          <w:sz w:val="22"/>
        </w:rPr>
      </w:pPr>
      <w:r w:rsidRPr="00855BC8">
        <w:rPr>
          <w:b/>
          <w:bCs/>
          <w:noProof/>
          <w:spacing w:val="-2"/>
          <w:sz w:val="22"/>
        </w:rPr>
        <mc:AlternateContent>
          <mc:Choice Requires="wps">
            <w:drawing>
              <wp:anchor distT="45720" distB="45720" distL="114300" distR="114300" simplePos="0" relativeHeight="251658240" behindDoc="0" locked="0" layoutInCell="1" allowOverlap="1" wp14:anchorId="09C09B30" wp14:editId="6FDFF090">
                <wp:simplePos x="0" y="0"/>
                <wp:positionH relativeFrom="column">
                  <wp:posOffset>4123055</wp:posOffset>
                </wp:positionH>
                <wp:positionV relativeFrom="paragraph">
                  <wp:posOffset>-83999</wp:posOffset>
                </wp:positionV>
                <wp:extent cx="2923540" cy="246380"/>
                <wp:effectExtent l="0" t="0" r="10160" b="7620"/>
                <wp:wrapNone/>
                <wp:docPr id="217" name="Text Box 217">
                  <a:extLst xmlns:a="http://schemas.openxmlformats.org/drawingml/2006/main">
                    <a:ext uri="{FF2B5EF4-FFF2-40B4-BE49-F238E27FC236}">
                      <a16:creationId xmlns:a16="http://schemas.microsoft.com/office/drawing/2014/main" id="{07DEC2CC-5154-45D5-B507-011B46AD9D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246380"/>
                        </a:xfrm>
                        <a:prstGeom prst="rect">
                          <a:avLst/>
                        </a:prstGeom>
                        <a:solidFill>
                          <a:srgbClr val="FFFFFF"/>
                        </a:solidFill>
                        <a:ln w="9525">
                          <a:solidFill>
                            <a:schemeClr val="bg1"/>
                          </a:solidFill>
                          <a:miter lim="800000"/>
                          <a:headEnd/>
                          <a:tailEnd/>
                        </a:ln>
                      </wps:spPr>
                      <wps:txbx>
                        <w:txbxContent>
                          <w:p w14:paraId="6ACAE1EA" w14:textId="25E0DBFB" w:rsidR="00855BC8" w:rsidRPr="000E7FD6" w:rsidRDefault="00855BC8" w:rsidP="00855BC8">
                            <w:pPr>
                              <w:ind w:left="-142"/>
                              <w:jc w:val="both"/>
                              <w:rPr>
                                <w:rFonts w:asciiTheme="minorHAnsi" w:hAnsiTheme="minorHAnsi" w:cstheme="minorHAnsi"/>
                              </w:rPr>
                            </w:pPr>
                            <w:r w:rsidRPr="000E7FD6">
                              <w:rPr>
                                <w:rFonts w:asciiTheme="minorHAnsi" w:hAnsiTheme="minorHAnsi" w:cstheme="minorHAnsi"/>
                                <w:b/>
                                <w:bCs/>
                              </w:rPr>
                              <w:t>FOR IMMEDIATE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C09B30" id="_x0000_t202" coordsize="21600,21600" o:spt="202" path="m,l,21600r21600,l21600,xe">
                <v:stroke joinstyle="miter"/>
                <v:path gradientshapeok="t" o:connecttype="rect"/>
              </v:shapetype>
              <v:shape id="Text Box 217" o:spid="_x0000_s1026" type="#_x0000_t202" style="position:absolute;margin-left:324.65pt;margin-top:-6.6pt;width:230.2pt;height:19.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" strokecolor="white [3212]">
                <v:textbox style="mso-fit-shape-to-text:t">
                  <w:txbxContent>
                    <w:p w14:paraId="6ACAE1EA" w14:textId="25E0DBFB" w:rsidR="00855BC8" w:rsidRPr="000E7FD6" w:rsidRDefault="00855BC8" w:rsidP="00855BC8">
                      <w:pPr>
                        <w:ind w:left="-142"/>
                        <w:jc w:val="both"/>
                        <w:rPr>
                          <w:rFonts w:asciiTheme="minorHAnsi" w:hAnsiTheme="minorHAnsi" w:cstheme="minorHAnsi"/>
                        </w:rPr>
                      </w:pPr>
                      <w:r w:rsidRPr="000E7FD6">
                        <w:rPr>
                          <w:rFonts w:asciiTheme="minorHAnsi" w:hAnsiTheme="minorHAnsi" w:cstheme="minorHAnsi"/>
                          <w:b/>
                          <w:bCs/>
                        </w:rPr>
                        <w:t>FOR IMMEDIATE RELEASE</w:t>
                      </w:r>
                    </w:p>
                  </w:txbxContent>
                </v:textbox>
              </v:shape>
            </w:pict>
          </mc:Fallback>
        </mc:AlternateContent>
      </w:r>
    </w:p>
    <w:tbl>
      <w:tblPr>
        <w:tblpPr w:leftFromText="180" w:rightFromText="180" w:tblpX="-90" w:tblpY="-765"/>
        <w:tblW w:w="0" w:type="auto"/>
        <w:tblBorders>
          <w:bottom w:val="single" w:sz="4" w:space="0" w:color="auto"/>
        </w:tblBorders>
        <w:tblLook w:val="00A0" w:firstRow="1" w:lastRow="0" w:firstColumn="1" w:lastColumn="0" w:noHBand="0" w:noVBand="0"/>
      </w:tblPr>
      <w:tblGrid>
        <w:gridCol w:w="1984"/>
        <w:gridCol w:w="7255"/>
        <w:gridCol w:w="119"/>
      </w:tblGrid>
      <w:tr w:rsidR="003039CF" w:rsidRPr="00D66000" w14:paraId="7DB20C05" w14:textId="77777777" w:rsidTr="457F2249">
        <w:trPr>
          <w:trHeight w:val="183"/>
        </w:trPr>
        <w:tc>
          <w:tcPr>
            <w:tcW w:w="1984" w:type="dxa"/>
          </w:tcPr>
          <w:p w14:paraId="04FC38BE" w14:textId="5134044B" w:rsidR="003039CF" w:rsidRPr="000E7FD6" w:rsidRDefault="00FD52CE" w:rsidP="00777572">
            <w:pPr>
              <w:spacing w:line="250" w:lineRule="exact"/>
              <w:ind w:left="0"/>
              <w:rPr>
                <w:rFonts w:cs="Arial"/>
                <w:color w:val="005598"/>
                <w:spacing w:val="4"/>
              </w:rPr>
            </w:pPr>
            <w:r w:rsidRPr="000E7FD6">
              <w:rPr>
                <w:rFonts w:cs="Arial"/>
                <w:b/>
                <w:color w:val="000000" w:themeColor="text1"/>
                <w:spacing w:val="4"/>
              </w:rPr>
              <w:t>Contact</w:t>
            </w:r>
            <w:r w:rsidR="003039CF" w:rsidRPr="000E7FD6">
              <w:rPr>
                <w:rFonts w:cs="Arial"/>
                <w:b/>
                <w:color w:val="000000" w:themeColor="text1"/>
                <w:spacing w:val="4"/>
              </w:rPr>
              <w:t>:</w:t>
            </w:r>
          </w:p>
        </w:tc>
        <w:tc>
          <w:tcPr>
            <w:tcW w:w="7374" w:type="dxa"/>
            <w:gridSpan w:val="2"/>
          </w:tcPr>
          <w:p w14:paraId="5B198938" w14:textId="4B3A956C" w:rsidR="003039CF" w:rsidRPr="00D66000" w:rsidRDefault="00FD52CE" w:rsidP="00777572">
            <w:pPr>
              <w:spacing w:line="250" w:lineRule="exact"/>
              <w:ind w:left="0"/>
              <w:rPr>
                <w:spacing w:val="-2"/>
              </w:rPr>
            </w:pPr>
            <w:r>
              <w:rPr>
                <w:spacing w:val="-2"/>
              </w:rPr>
              <w:t xml:space="preserve">Franklin </w:t>
            </w:r>
            <w:r w:rsidR="00E0153A">
              <w:rPr>
                <w:spacing w:val="-2"/>
              </w:rPr>
              <w:t>Templeton</w:t>
            </w:r>
          </w:p>
        </w:tc>
      </w:tr>
      <w:tr w:rsidR="003039CF" w:rsidRPr="00D66000" w14:paraId="360DFB72" w14:textId="77777777" w:rsidTr="457F2249">
        <w:trPr>
          <w:trHeight w:val="183"/>
        </w:trPr>
        <w:tc>
          <w:tcPr>
            <w:tcW w:w="1984" w:type="dxa"/>
          </w:tcPr>
          <w:p w14:paraId="3284247D" w14:textId="51BA0344" w:rsidR="003039CF" w:rsidRPr="000E7FD6" w:rsidRDefault="003039CF" w:rsidP="00777572">
            <w:pPr>
              <w:spacing w:line="250" w:lineRule="exact"/>
              <w:ind w:left="0"/>
              <w:rPr>
                <w:rFonts w:cs="Arial"/>
                <w:spacing w:val="-2"/>
              </w:rPr>
            </w:pPr>
          </w:p>
        </w:tc>
        <w:tc>
          <w:tcPr>
            <w:tcW w:w="7374" w:type="dxa"/>
            <w:gridSpan w:val="2"/>
          </w:tcPr>
          <w:p w14:paraId="12788EE1" w14:textId="71FDE03B" w:rsidR="003039CF" w:rsidRPr="009E0D15" w:rsidRDefault="003039CF" w:rsidP="00777572">
            <w:pPr>
              <w:spacing w:line="250" w:lineRule="exact"/>
              <w:ind w:left="0"/>
              <w:rPr>
                <w:spacing w:val="-2"/>
                <w:sz w:val="19"/>
                <w:szCs w:val="19"/>
              </w:rPr>
            </w:pPr>
          </w:p>
        </w:tc>
      </w:tr>
      <w:tr w:rsidR="003039CF" w:rsidRPr="00CC39E9" w14:paraId="6BC71A0F" w14:textId="77777777" w:rsidTr="457F2249">
        <w:trPr>
          <w:trHeight w:val="196"/>
        </w:trPr>
        <w:tc>
          <w:tcPr>
            <w:tcW w:w="1984" w:type="dxa"/>
          </w:tcPr>
          <w:p w14:paraId="5174169C" w14:textId="7A382899" w:rsidR="003039CF" w:rsidRPr="000B0B17" w:rsidRDefault="00FB2B12" w:rsidP="00777572">
            <w:pPr>
              <w:spacing w:line="250" w:lineRule="exact"/>
              <w:ind w:left="0"/>
              <w:rPr>
                <w:rFonts w:cs="Arial"/>
                <w:spacing w:val="-2"/>
                <w:sz w:val="18"/>
                <w:szCs w:val="18"/>
              </w:rPr>
            </w:pPr>
            <w:r>
              <w:rPr>
                <w:rFonts w:cs="Arial"/>
                <w:b/>
                <w:spacing w:val="-2"/>
                <w:sz w:val="18"/>
                <w:szCs w:val="18"/>
              </w:rPr>
              <w:t>Public</w:t>
            </w:r>
            <w:r w:rsidR="00FD52CE" w:rsidRPr="000B0B17">
              <w:rPr>
                <w:rFonts w:cs="Arial"/>
                <w:b/>
                <w:spacing w:val="-2"/>
                <w:sz w:val="18"/>
                <w:szCs w:val="18"/>
              </w:rPr>
              <w:t xml:space="preserve"> Relations: </w:t>
            </w:r>
          </w:p>
        </w:tc>
        <w:tc>
          <w:tcPr>
            <w:tcW w:w="7374" w:type="dxa"/>
            <w:gridSpan w:val="2"/>
          </w:tcPr>
          <w:p w14:paraId="6D944279" w14:textId="40DA58CA" w:rsidR="003039CF" w:rsidRPr="002F24F2" w:rsidRDefault="00775285" w:rsidP="00777572">
            <w:pPr>
              <w:spacing w:line="250" w:lineRule="exact"/>
              <w:ind w:left="0"/>
              <w:rPr>
                <w:spacing w:val="-2"/>
                <w:sz w:val="18"/>
                <w:szCs w:val="18"/>
                <w:lang w:val="it-IT"/>
              </w:rPr>
            </w:pPr>
            <w:r>
              <w:rPr>
                <w:spacing w:val="-2"/>
                <w:sz w:val="18"/>
                <w:szCs w:val="18"/>
                <w:lang w:val="it-IT"/>
              </w:rPr>
              <w:t>Oliver Trenk</w:t>
            </w:r>
            <w:r w:rsidRPr="002F24F2">
              <w:rPr>
                <w:spacing w:val="-2"/>
                <w:sz w:val="18"/>
                <w:szCs w:val="18"/>
                <w:lang w:val="it-IT"/>
              </w:rPr>
              <w:t xml:space="preserve"> </w:t>
            </w:r>
            <w:r>
              <w:rPr>
                <w:spacing w:val="-2"/>
                <w:sz w:val="18"/>
                <w:szCs w:val="18"/>
                <w:lang w:val="it-IT"/>
              </w:rPr>
              <w:t>+49 172 6361699</w:t>
            </w:r>
            <w:r w:rsidRPr="002F24F2">
              <w:rPr>
                <w:spacing w:val="-2"/>
                <w:sz w:val="18"/>
                <w:szCs w:val="18"/>
                <w:lang w:val="it-IT"/>
              </w:rPr>
              <w:t xml:space="preserve">  </w:t>
            </w:r>
            <w:r w:rsidRPr="002F24F2">
              <w:rPr>
                <w:spacing w:val="-2"/>
                <w:sz w:val="18"/>
                <w:szCs w:val="18"/>
                <w:lang w:val="it-IT"/>
              </w:rPr>
              <w:br/>
            </w:r>
            <w:r>
              <w:rPr>
                <w:spacing w:val="-2"/>
                <w:sz w:val="18"/>
                <w:szCs w:val="18"/>
                <w:lang w:val="it-IT"/>
              </w:rPr>
              <w:t>oliver.trenk</w:t>
            </w:r>
            <w:r w:rsidRPr="002F24F2">
              <w:rPr>
                <w:spacing w:val="-2"/>
                <w:sz w:val="18"/>
                <w:szCs w:val="18"/>
                <w:lang w:val="it-IT"/>
              </w:rPr>
              <w:t>@franklintempleton.</w:t>
            </w:r>
            <w:r>
              <w:rPr>
                <w:spacing w:val="-2"/>
                <w:sz w:val="18"/>
                <w:szCs w:val="18"/>
                <w:lang w:val="it-IT"/>
              </w:rPr>
              <w:t>de</w:t>
            </w:r>
          </w:p>
        </w:tc>
      </w:tr>
      <w:tr w:rsidR="003039CF" w:rsidRPr="00CC39E9" w14:paraId="32CC547C" w14:textId="77777777" w:rsidTr="457F2249">
        <w:trPr>
          <w:trHeight w:val="217"/>
        </w:trPr>
        <w:tc>
          <w:tcPr>
            <w:tcW w:w="1984" w:type="dxa"/>
          </w:tcPr>
          <w:p w14:paraId="503FA643" w14:textId="2B33F991" w:rsidR="003039CF" w:rsidRPr="002F24F2" w:rsidRDefault="003039CF" w:rsidP="00777572">
            <w:pPr>
              <w:spacing w:line="250" w:lineRule="exact"/>
              <w:ind w:left="0"/>
              <w:rPr>
                <w:rFonts w:cs="Arial"/>
                <w:spacing w:val="-2"/>
                <w:lang w:val="it-IT"/>
              </w:rPr>
            </w:pPr>
          </w:p>
        </w:tc>
        <w:tc>
          <w:tcPr>
            <w:tcW w:w="7374" w:type="dxa"/>
            <w:gridSpan w:val="2"/>
          </w:tcPr>
          <w:p w14:paraId="34DA3913" w14:textId="3F794AB6" w:rsidR="003039CF" w:rsidRPr="002F24F2" w:rsidRDefault="003039CF" w:rsidP="00777572">
            <w:pPr>
              <w:spacing w:line="250" w:lineRule="exact"/>
              <w:ind w:left="0"/>
              <w:rPr>
                <w:spacing w:val="-2"/>
                <w:sz w:val="19"/>
                <w:szCs w:val="19"/>
                <w:lang w:val="it-IT"/>
              </w:rPr>
            </w:pPr>
          </w:p>
        </w:tc>
      </w:tr>
      <w:tr w:rsidR="003039CF" w:rsidRPr="00CC39E9" w14:paraId="1F352E34" w14:textId="77777777" w:rsidTr="457F2249">
        <w:trPr>
          <w:trHeight w:val="190"/>
        </w:trPr>
        <w:tc>
          <w:tcPr>
            <w:tcW w:w="1984" w:type="dxa"/>
          </w:tcPr>
          <w:p w14:paraId="63D1F6EE" w14:textId="77777777" w:rsidR="003039CF" w:rsidRPr="002F24F2" w:rsidRDefault="003039CF" w:rsidP="00777572">
            <w:pPr>
              <w:spacing w:line="250" w:lineRule="exact"/>
              <w:ind w:left="0"/>
              <w:rPr>
                <w:spacing w:val="-2"/>
                <w:lang w:val="it-IT"/>
              </w:rPr>
            </w:pPr>
          </w:p>
        </w:tc>
        <w:tc>
          <w:tcPr>
            <w:tcW w:w="7374" w:type="dxa"/>
            <w:gridSpan w:val="2"/>
          </w:tcPr>
          <w:p w14:paraId="08FAF928" w14:textId="77777777" w:rsidR="003039CF" w:rsidRPr="002F24F2" w:rsidRDefault="003039CF" w:rsidP="00777572">
            <w:pPr>
              <w:spacing w:line="250" w:lineRule="exact"/>
              <w:ind w:left="0"/>
              <w:rPr>
                <w:spacing w:val="-2"/>
                <w:lang w:val="it-IT"/>
              </w:rPr>
            </w:pPr>
          </w:p>
        </w:tc>
      </w:tr>
      <w:tr w:rsidR="00777572" w:rsidRPr="00FA71C0" w14:paraId="0B2DE480" w14:textId="77777777" w:rsidTr="457F2249">
        <w:trPr>
          <w:gridAfter w:val="1"/>
          <w:wAfter w:w="119" w:type="dxa"/>
          <w:trHeight w:val="301"/>
        </w:trPr>
        <w:tc>
          <w:tcPr>
            <w:tcW w:w="9239" w:type="dxa"/>
            <w:gridSpan w:val="2"/>
          </w:tcPr>
          <w:p w14:paraId="0A998524" w14:textId="518E3988" w:rsidR="00483EBF" w:rsidRDefault="00954A96" w:rsidP="0050593A">
            <w:pPr>
              <w:ind w:left="0"/>
              <w:jc w:val="center"/>
              <w:rPr>
                <w:rFonts w:ascii="Century Gothic" w:eastAsiaTheme="minorHAnsi" w:hAnsi="Century Gothic" w:cs="Arial"/>
                <w:b/>
                <w:bCs/>
                <w:spacing w:val="-2"/>
                <w:kern w:val="2"/>
                <w:sz w:val="32"/>
                <w:szCs w:val="32"/>
                <w:lang w:val="de-DE"/>
                <w14:ligatures w14:val="standardContextual"/>
              </w:rPr>
            </w:pPr>
            <w:r w:rsidRPr="00954A96">
              <w:rPr>
                <w:rFonts w:ascii="Century Gothic" w:eastAsiaTheme="minorHAnsi" w:hAnsi="Century Gothic" w:cs="Arial"/>
                <w:b/>
                <w:bCs/>
                <w:spacing w:val="-2"/>
                <w:kern w:val="2"/>
                <w:sz w:val="32"/>
                <w:szCs w:val="32"/>
                <w:lang w:val="de-DE"/>
                <w14:ligatures w14:val="standardContextual"/>
              </w:rPr>
              <w:t>Franklin Templeton und MorgenFund kooperieren bei neuer AV-Depot-Lösung</w:t>
            </w:r>
          </w:p>
          <w:p w14:paraId="516875CC" w14:textId="77777777" w:rsidR="00954A96" w:rsidRPr="00954A96" w:rsidRDefault="00954A96" w:rsidP="0050593A">
            <w:pPr>
              <w:ind w:left="0"/>
              <w:jc w:val="center"/>
              <w:rPr>
                <w:rFonts w:ascii="Century Gothic" w:eastAsiaTheme="minorHAnsi" w:hAnsi="Century Gothic" w:cs="Arial"/>
                <w:b/>
                <w:bCs/>
                <w:spacing w:val="-2"/>
                <w:kern w:val="2"/>
                <w:sz w:val="32"/>
                <w:szCs w:val="32"/>
                <w:lang w:val="de-DE"/>
                <w14:ligatures w14:val="standardContextual"/>
              </w:rPr>
            </w:pPr>
          </w:p>
          <w:p w14:paraId="43ECCD88" w14:textId="51A46200" w:rsidR="00A843F1" w:rsidRDefault="00954A96" w:rsidP="00301B09">
            <w:pPr>
              <w:ind w:left="0"/>
              <w:jc w:val="center"/>
              <w:rPr>
                <w:rFonts w:cs="Arial"/>
                <w:i/>
                <w:iCs/>
                <w:color w:val="000000" w:themeColor="text1"/>
                <w:sz w:val="22"/>
                <w:szCs w:val="22"/>
                <w:lang w:val="de-DE"/>
              </w:rPr>
            </w:pPr>
            <w:r w:rsidRPr="00954A96">
              <w:rPr>
                <w:rFonts w:cs="Arial"/>
                <w:i/>
                <w:iCs/>
                <w:color w:val="000000" w:themeColor="text1"/>
                <w:sz w:val="22"/>
                <w:szCs w:val="22"/>
                <w:lang w:val="de-DE"/>
              </w:rPr>
              <w:t>Die Zusammenarbeit verbindet die Investmentexpertise von Franklin Templeton mit MorgenFund als Produktanbieter und regulierte Plattform. Ziel ist es, Vertriebspartner und ihre Kundinnen und Kunden mit einem modernen Angebot für die Altersvorsorge zu unterstützen.</w:t>
            </w:r>
          </w:p>
          <w:p w14:paraId="1BBF0BA1" w14:textId="105A8A1B" w:rsidR="00954A96" w:rsidRPr="00954A96" w:rsidRDefault="00954A96" w:rsidP="00301B09">
            <w:pPr>
              <w:ind w:left="0"/>
              <w:jc w:val="center"/>
              <w:rPr>
                <w:rFonts w:asciiTheme="minorHAnsi" w:hAnsiTheme="minorHAnsi" w:cstheme="minorHAnsi"/>
                <w:spacing w:val="-2"/>
                <w:sz w:val="18"/>
                <w:szCs w:val="18"/>
                <w:lang w:val="de-DE"/>
              </w:rPr>
            </w:pPr>
          </w:p>
        </w:tc>
      </w:tr>
    </w:tbl>
    <w:p w14:paraId="2792CE08" w14:textId="1B4104CB" w:rsidR="00954A96" w:rsidRPr="00954A96" w:rsidRDefault="00483EBF" w:rsidP="00954A96">
      <w:pPr>
        <w:pStyle w:val="KeinLeerraum"/>
        <w:jc w:val="both"/>
        <w:rPr>
          <w:rFonts w:eastAsia="Calibri"/>
          <w:sz w:val="20"/>
          <w:szCs w:val="20"/>
          <w:lang w:val="de-DE"/>
        </w:rPr>
      </w:pPr>
      <w:r w:rsidRPr="56DAD40E">
        <w:rPr>
          <w:b/>
          <w:bCs/>
          <w:sz w:val="20"/>
          <w:szCs w:val="20"/>
          <w:lang w:val="de-DE"/>
        </w:rPr>
        <w:t xml:space="preserve">Frankfurt </w:t>
      </w:r>
      <w:r w:rsidR="00991AA6" w:rsidRPr="56DAD40E">
        <w:rPr>
          <w:b/>
          <w:bCs/>
          <w:sz w:val="20"/>
          <w:szCs w:val="20"/>
          <w:lang w:val="de-DE"/>
        </w:rPr>
        <w:t>–</w:t>
      </w:r>
      <w:r w:rsidR="00991AA6">
        <w:rPr>
          <w:b/>
          <w:bCs/>
          <w:sz w:val="20"/>
          <w:szCs w:val="20"/>
          <w:lang w:val="de-DE"/>
        </w:rPr>
        <w:t xml:space="preserve"> </w:t>
      </w:r>
      <w:r w:rsidR="00A843F1" w:rsidRPr="56DAD40E">
        <w:rPr>
          <w:b/>
          <w:bCs/>
          <w:sz w:val="20"/>
          <w:szCs w:val="20"/>
          <w:lang w:val="de-DE"/>
        </w:rPr>
        <w:t>11</w:t>
      </w:r>
      <w:r w:rsidRPr="56DAD40E">
        <w:rPr>
          <w:b/>
          <w:bCs/>
          <w:sz w:val="20"/>
          <w:szCs w:val="20"/>
          <w:lang w:val="de-DE"/>
        </w:rPr>
        <w:t xml:space="preserve"> June 2026 </w:t>
      </w:r>
      <w:r w:rsidRPr="56DAD40E">
        <w:rPr>
          <w:rFonts w:eastAsia="Calibri"/>
          <w:sz w:val="20"/>
          <w:szCs w:val="20"/>
          <w:lang w:val="de-DE"/>
        </w:rPr>
        <w:t xml:space="preserve">– </w:t>
      </w:r>
      <w:r w:rsidR="00954A96" w:rsidRPr="56DAD40E">
        <w:rPr>
          <w:rFonts w:eastAsia="Calibri"/>
          <w:sz w:val="20"/>
          <w:szCs w:val="20"/>
          <w:lang w:val="de-DE"/>
        </w:rPr>
        <w:t>Franklin Templeton¹, ein führender globaler Asset Manager, und MorgenFund</w:t>
      </w:r>
      <w:r w:rsidR="001F4773" w:rsidRPr="56DAD40E">
        <w:rPr>
          <w:rFonts w:eastAsia="Calibri"/>
          <w:sz w:val="20"/>
          <w:szCs w:val="20"/>
          <w:lang w:val="de-DE"/>
        </w:rPr>
        <w:t>, eine der größten deutsche</w:t>
      </w:r>
      <w:r w:rsidR="3AE7A3CA" w:rsidRPr="56DAD40E">
        <w:rPr>
          <w:rFonts w:eastAsia="Calibri"/>
          <w:sz w:val="20"/>
          <w:szCs w:val="20"/>
          <w:lang w:val="de-DE"/>
        </w:rPr>
        <w:t>n</w:t>
      </w:r>
      <w:r w:rsidR="001F4773" w:rsidRPr="56DAD40E">
        <w:rPr>
          <w:rFonts w:eastAsia="Calibri"/>
          <w:sz w:val="20"/>
          <w:szCs w:val="20"/>
          <w:lang w:val="de-DE"/>
        </w:rPr>
        <w:t xml:space="preserve"> Fondsplattformen,</w:t>
      </w:r>
      <w:r w:rsidR="00954A96" w:rsidRPr="56DAD40E">
        <w:rPr>
          <w:rFonts w:eastAsia="Calibri"/>
          <w:sz w:val="20"/>
          <w:szCs w:val="20"/>
          <w:lang w:val="de-DE"/>
        </w:rPr>
        <w:t xml:space="preserve"> haben heute </w:t>
      </w:r>
      <w:r w:rsidR="00D2444C" w:rsidRPr="56DAD40E">
        <w:rPr>
          <w:rFonts w:eastAsia="Calibri"/>
          <w:sz w:val="20"/>
          <w:szCs w:val="20"/>
          <w:lang w:val="de-DE"/>
        </w:rPr>
        <w:t>ihre</w:t>
      </w:r>
      <w:r w:rsidR="00954A96" w:rsidRPr="56DAD40E">
        <w:rPr>
          <w:rFonts w:eastAsia="Calibri"/>
          <w:sz w:val="20"/>
          <w:szCs w:val="20"/>
          <w:lang w:val="de-DE"/>
        </w:rPr>
        <w:t xml:space="preserve"> Partnerschaft zur Bereitstellung einer Altersvorsorgedepot-Lösung, kurz AV-Depot, bekannt gegeben. Die Lösung soll den langfristigen Vermögensaufbau für die Altersvorsorge über ein skalierbares, digital unterstütztes Investmentangebot fördern.</w:t>
      </w:r>
    </w:p>
    <w:p w14:paraId="45F6CAB1" w14:textId="77777777" w:rsidR="00954A96" w:rsidRPr="00954A96" w:rsidRDefault="00954A96" w:rsidP="00954A96">
      <w:pPr>
        <w:pStyle w:val="KeinLeerraum"/>
        <w:jc w:val="both"/>
        <w:rPr>
          <w:rFonts w:eastAsia="Calibri" w:cstheme="minorHAnsi"/>
          <w:sz w:val="20"/>
          <w:szCs w:val="20"/>
          <w:lang w:val="de-DE"/>
        </w:rPr>
      </w:pPr>
    </w:p>
    <w:p w14:paraId="27CAD493" w14:textId="315C002F" w:rsidR="00954A96" w:rsidRPr="00954A96" w:rsidRDefault="00954A96" w:rsidP="0038031F">
      <w:pPr>
        <w:pStyle w:val="KeinLeerraum"/>
        <w:jc w:val="both"/>
        <w:rPr>
          <w:rFonts w:eastAsia="Calibri" w:cstheme="minorHAnsi"/>
          <w:sz w:val="20"/>
          <w:szCs w:val="20"/>
          <w:lang w:val="de-DE"/>
        </w:rPr>
      </w:pPr>
      <w:r w:rsidRPr="00954A96">
        <w:rPr>
          <w:rFonts w:eastAsia="Calibri" w:cstheme="minorHAnsi"/>
          <w:sz w:val="20"/>
          <w:szCs w:val="20"/>
          <w:lang w:val="de-DE"/>
        </w:rPr>
        <w:t xml:space="preserve">Die Kooperation bündelt die globalen Investmentkapazitäten, die Altersvorsorgekompetenz und die Unterstützung bei der Produktentwicklung von Franklin Templeton mit der Expertise von MorgenFund als Produktanbieter, regulierte Plattform, Infrastrukturanbieter und operativer Servicedienstleister. MorgenFund verfügt über eine langjährige </w:t>
      </w:r>
      <w:r w:rsidR="0038031F" w:rsidRPr="00000B57">
        <w:rPr>
          <w:rFonts w:eastAsia="Calibri" w:cstheme="minorHAnsi"/>
          <w:sz w:val="20"/>
          <w:szCs w:val="20"/>
          <w:lang w:val="de-DE"/>
        </w:rPr>
        <w:t xml:space="preserve">Expertise </w:t>
      </w:r>
      <w:r w:rsidRPr="00954A96">
        <w:rPr>
          <w:rFonts w:eastAsia="Calibri" w:cstheme="minorHAnsi"/>
          <w:sz w:val="20"/>
          <w:szCs w:val="20"/>
          <w:lang w:val="de-DE"/>
        </w:rPr>
        <w:t>als unabhängige</w:t>
      </w:r>
      <w:r w:rsidR="0038031F">
        <w:rPr>
          <w:rFonts w:eastAsia="Calibri" w:cstheme="minorHAnsi"/>
          <w:sz w:val="20"/>
          <w:szCs w:val="20"/>
          <w:lang w:val="de-DE"/>
        </w:rPr>
        <w:t xml:space="preserve"> und regulierte</w:t>
      </w:r>
      <w:r w:rsidRPr="00954A96">
        <w:rPr>
          <w:rFonts w:eastAsia="Calibri" w:cstheme="minorHAnsi"/>
          <w:sz w:val="20"/>
          <w:szCs w:val="20"/>
          <w:lang w:val="de-DE"/>
        </w:rPr>
        <w:t xml:space="preserve"> Plattform mit einfachen und flexiblen Depotlösungen sowie einem offenen Anlageuniversum aus Fonds und ETFs. Im Rahmen der AV-Depot-Lösung stellt MorgenFund das Produkt und die zugrunde liegende Infrastruktur bereit, während Franklin Templeton den Zugang zu seinen umfassenden Investmentkapazitäten ermöglicht. Ein besonderer Fokus liegt dabei auf dem schnell wachsenden ETF-Angebot von Franklin Templeton, das für moderne Altersvorsorgelösungen zunehmend an Bedeutung gewinnt.</w:t>
      </w:r>
    </w:p>
    <w:p w14:paraId="2B49D0F0" w14:textId="77777777" w:rsidR="00954A96" w:rsidRPr="00954A96" w:rsidRDefault="00954A96" w:rsidP="00954A96">
      <w:pPr>
        <w:pStyle w:val="KeinLeerraum"/>
        <w:jc w:val="both"/>
        <w:rPr>
          <w:rFonts w:eastAsia="Calibri" w:cstheme="minorHAnsi"/>
          <w:sz w:val="20"/>
          <w:szCs w:val="20"/>
          <w:lang w:val="de-DE"/>
        </w:rPr>
      </w:pPr>
    </w:p>
    <w:p w14:paraId="49E1503E" w14:textId="3A500A7D" w:rsidR="00954A96" w:rsidRPr="00954A96" w:rsidRDefault="00954A96" w:rsidP="105C9920">
      <w:pPr>
        <w:pStyle w:val="KeinLeerraum"/>
        <w:jc w:val="both"/>
        <w:rPr>
          <w:rFonts w:eastAsia="Calibri"/>
          <w:sz w:val="20"/>
          <w:szCs w:val="20"/>
          <w:lang w:val="de-DE"/>
        </w:rPr>
      </w:pPr>
      <w:r w:rsidRPr="105C9920">
        <w:rPr>
          <w:rFonts w:eastAsia="Calibri"/>
          <w:sz w:val="20"/>
          <w:szCs w:val="20"/>
          <w:lang w:val="de-DE"/>
        </w:rPr>
        <w:t xml:space="preserve">Mit der Partnerschaft </w:t>
      </w:r>
      <w:r w:rsidR="008771A8" w:rsidRPr="105C9920">
        <w:rPr>
          <w:rFonts w:eastAsia="Calibri"/>
          <w:sz w:val="20"/>
          <w:szCs w:val="20"/>
          <w:lang w:val="de-DE"/>
        </w:rPr>
        <w:t xml:space="preserve">stellen </w:t>
      </w:r>
      <w:r w:rsidRPr="105C9920">
        <w:rPr>
          <w:rFonts w:eastAsia="Calibri"/>
          <w:sz w:val="20"/>
          <w:szCs w:val="20"/>
          <w:lang w:val="de-DE"/>
        </w:rPr>
        <w:t xml:space="preserve">Franklin Templeton und MorgenFund ausgewählten </w:t>
      </w:r>
      <w:r w:rsidR="008771A8" w:rsidRPr="105C9920">
        <w:rPr>
          <w:rFonts w:eastAsia="Calibri"/>
          <w:sz w:val="20"/>
          <w:szCs w:val="20"/>
          <w:lang w:val="de-DE"/>
        </w:rPr>
        <w:t>Vertriebspartner</w:t>
      </w:r>
      <w:r w:rsidR="35E092A3" w:rsidRPr="105C9920">
        <w:rPr>
          <w:rFonts w:eastAsia="Calibri"/>
          <w:sz w:val="20"/>
          <w:szCs w:val="20"/>
          <w:lang w:val="de-DE"/>
        </w:rPr>
        <w:t>n</w:t>
      </w:r>
      <w:r w:rsidR="008771A8" w:rsidRPr="105C9920">
        <w:rPr>
          <w:rFonts w:eastAsia="Calibri"/>
          <w:sz w:val="20"/>
          <w:szCs w:val="20"/>
          <w:lang w:val="de-DE"/>
        </w:rPr>
        <w:t xml:space="preserve"> und deren</w:t>
      </w:r>
      <w:r w:rsidRPr="105C9920">
        <w:rPr>
          <w:rFonts w:eastAsia="Calibri"/>
          <w:sz w:val="20"/>
          <w:szCs w:val="20"/>
          <w:lang w:val="de-DE"/>
        </w:rPr>
        <w:t xml:space="preserve"> Beratern eine umfassende AV-Depot-Produkt- und Plattformlösung zur Verfügung, die in deren Kundenangebote integriert werden kann. Franklin Templeton unterstützt die Lösung durch Produktpositionierung, Informations- und Schulungsmaterialien. </w:t>
      </w:r>
      <w:r w:rsidR="008771A8" w:rsidRPr="105C9920">
        <w:rPr>
          <w:rFonts w:eastAsia="Calibri"/>
          <w:sz w:val="20"/>
          <w:szCs w:val="20"/>
          <w:lang w:val="de-DE"/>
        </w:rPr>
        <w:t xml:space="preserve">Die Vertriebspartner </w:t>
      </w:r>
      <w:r w:rsidRPr="105C9920">
        <w:rPr>
          <w:rFonts w:eastAsia="Calibri"/>
          <w:sz w:val="20"/>
          <w:szCs w:val="20"/>
          <w:lang w:val="de-DE"/>
        </w:rPr>
        <w:t xml:space="preserve">bleiben dabei der zentrale Zugangspunkt für Endanleger, die flexible, investmentbasierte Lösungen für ihre Altersvorsorge suchen. Als Produktanbieter und Plattform übernimmt MorgenFund die vollständige Betreuung und Administration des AV-Depots und ist rechtlicher Vertragspartner der </w:t>
      </w:r>
      <w:r w:rsidR="008771A8" w:rsidRPr="105C9920">
        <w:rPr>
          <w:rFonts w:eastAsia="Calibri"/>
          <w:sz w:val="20"/>
          <w:szCs w:val="20"/>
          <w:lang w:val="de-DE"/>
        </w:rPr>
        <w:t>Endkunden</w:t>
      </w:r>
      <w:r w:rsidRPr="105C9920">
        <w:rPr>
          <w:rFonts w:eastAsia="Calibri"/>
          <w:sz w:val="20"/>
          <w:szCs w:val="20"/>
          <w:lang w:val="de-DE"/>
        </w:rPr>
        <w:t>.</w:t>
      </w:r>
    </w:p>
    <w:p w14:paraId="63D0382F" w14:textId="77777777" w:rsidR="00954A96" w:rsidRPr="00954A96" w:rsidRDefault="00954A96" w:rsidP="00954A96">
      <w:pPr>
        <w:pStyle w:val="KeinLeerraum"/>
        <w:jc w:val="both"/>
        <w:rPr>
          <w:rFonts w:eastAsia="Calibri" w:cstheme="minorHAnsi"/>
          <w:sz w:val="20"/>
          <w:szCs w:val="20"/>
          <w:lang w:val="de-DE"/>
        </w:rPr>
      </w:pPr>
    </w:p>
    <w:p w14:paraId="46083EDD" w14:textId="21325860" w:rsidR="00954A96" w:rsidRPr="00954A96" w:rsidRDefault="00954A96" w:rsidP="00954A96">
      <w:pPr>
        <w:pStyle w:val="KeinLeerraum"/>
        <w:jc w:val="both"/>
        <w:rPr>
          <w:rFonts w:eastAsia="Calibri" w:cstheme="minorHAnsi"/>
          <w:sz w:val="20"/>
          <w:szCs w:val="20"/>
          <w:lang w:val="de-DE"/>
        </w:rPr>
      </w:pPr>
      <w:r w:rsidRPr="00954A96">
        <w:rPr>
          <w:rFonts w:eastAsia="Calibri" w:cstheme="minorHAnsi"/>
          <w:b/>
          <w:bCs/>
          <w:sz w:val="20"/>
          <w:szCs w:val="20"/>
          <w:lang w:val="de-DE"/>
        </w:rPr>
        <w:t>Christian Machts, Head of Germany and Austria bei Franklin Templeton,</w:t>
      </w:r>
      <w:r w:rsidRPr="00954A96">
        <w:rPr>
          <w:rFonts w:eastAsia="Calibri" w:cstheme="minorHAnsi"/>
          <w:sz w:val="20"/>
          <w:szCs w:val="20"/>
          <w:lang w:val="de-DE"/>
        </w:rPr>
        <w:t xml:space="preserve"> sagt: „Das AV-Depot ist ein wichtiger Schritt für die Sparerinnen und Sparer von heute sowie für künftige Generationen. Bei Franklin Templeton wissen wir aus Märkten wie den USA, wo wir über jahrzehntelange Erfahrung mit 401(k)-Plänen und anderen Altersvorsorgelösungen verfügen, wie bedeutsam politisch unterstützte Rahmenbedingungen für die private Altersvorsorge sein können. Gemeinsam mit MorgenFund freuen wir uns darauf, Finanzinstitute und Berater dabei zu unterstützen, ihren Kundinnen und Kunden flexible, investmentbasierte Altersvorsorgelösungen zugänglich zu machen.“</w:t>
      </w:r>
    </w:p>
    <w:p w14:paraId="45606B51" w14:textId="77777777" w:rsidR="00954A96" w:rsidRPr="00954A96" w:rsidRDefault="00954A96" w:rsidP="00954A96">
      <w:pPr>
        <w:pStyle w:val="KeinLeerraum"/>
        <w:jc w:val="both"/>
        <w:rPr>
          <w:rFonts w:eastAsia="Calibri" w:cstheme="minorHAnsi"/>
          <w:sz w:val="20"/>
          <w:szCs w:val="20"/>
          <w:lang w:val="de-DE"/>
        </w:rPr>
      </w:pPr>
    </w:p>
    <w:p w14:paraId="1F01E3C3" w14:textId="446123BF" w:rsidR="00954A96" w:rsidRPr="00954A96" w:rsidRDefault="00954A96" w:rsidP="00954A96">
      <w:pPr>
        <w:pStyle w:val="KeinLeerraum"/>
        <w:jc w:val="both"/>
        <w:rPr>
          <w:rFonts w:eastAsia="Calibri"/>
          <w:sz w:val="20"/>
          <w:szCs w:val="20"/>
          <w:lang w:val="de-DE"/>
        </w:rPr>
      </w:pPr>
      <w:r w:rsidRPr="4A65D3D4">
        <w:rPr>
          <w:rFonts w:eastAsia="Calibri"/>
          <w:b/>
          <w:bCs/>
          <w:sz w:val="20"/>
          <w:szCs w:val="20"/>
          <w:lang w:val="de-DE"/>
        </w:rPr>
        <w:t xml:space="preserve">Heike Fürpaß-Peter, </w:t>
      </w:r>
      <w:r w:rsidR="00C30133" w:rsidRPr="00C30133">
        <w:rPr>
          <w:rFonts w:eastAsia="Calibri"/>
          <w:b/>
          <w:bCs/>
          <w:sz w:val="20"/>
          <w:szCs w:val="20"/>
          <w:lang w:val="de-DE"/>
        </w:rPr>
        <w:t xml:space="preserve">Geschäftsführerin </w:t>
      </w:r>
      <w:r w:rsidRPr="4A65D3D4">
        <w:rPr>
          <w:rFonts w:eastAsia="Calibri"/>
          <w:b/>
          <w:bCs/>
          <w:sz w:val="20"/>
          <w:szCs w:val="20"/>
          <w:lang w:val="de-DE"/>
        </w:rPr>
        <w:t>bei MorgenFund,</w:t>
      </w:r>
      <w:r w:rsidRPr="4A65D3D4">
        <w:rPr>
          <w:rFonts w:eastAsia="Calibri"/>
          <w:sz w:val="20"/>
          <w:szCs w:val="20"/>
          <w:lang w:val="de-DE"/>
        </w:rPr>
        <w:t xml:space="preserve"> sagt: „Wir freuen uns über die Partnerschaft mit Franklin Templeton bei einer Lösung</w:t>
      </w:r>
      <w:r w:rsidR="008771A8" w:rsidRPr="4A65D3D4">
        <w:rPr>
          <w:rFonts w:eastAsia="Calibri"/>
          <w:sz w:val="20"/>
          <w:szCs w:val="20"/>
          <w:lang w:val="de-DE"/>
        </w:rPr>
        <w:t>,</w:t>
      </w:r>
      <w:r w:rsidR="008771A8" w:rsidRPr="00000B57">
        <w:rPr>
          <w:lang w:val="de-DE"/>
        </w:rPr>
        <w:t xml:space="preserve"> </w:t>
      </w:r>
      <w:r w:rsidR="008771A8" w:rsidRPr="4A65D3D4">
        <w:rPr>
          <w:rFonts w:eastAsia="Calibri"/>
          <w:sz w:val="20"/>
          <w:szCs w:val="20"/>
          <w:lang w:val="de-DE"/>
        </w:rPr>
        <w:t>die unsere komplementären Stärken entlang des gesamten Produkt- und Kundenlebenszyklus vereint.</w:t>
      </w:r>
      <w:r w:rsidRPr="4A65D3D4">
        <w:rPr>
          <w:rFonts w:eastAsia="Calibri"/>
          <w:sz w:val="20"/>
          <w:szCs w:val="20"/>
          <w:lang w:val="de-DE"/>
        </w:rPr>
        <w:t xml:space="preserve"> MorgenFund verfügt über 25 Jahre Erfahrung in der Bereitstellung von Altersvorsorgelösungen und </w:t>
      </w:r>
      <w:r w:rsidR="4D0BC987" w:rsidRPr="4A65D3D4">
        <w:rPr>
          <w:rFonts w:eastAsia="Calibri"/>
          <w:sz w:val="20"/>
          <w:szCs w:val="20"/>
          <w:lang w:val="de-DE"/>
        </w:rPr>
        <w:t xml:space="preserve">wird </w:t>
      </w:r>
      <w:r w:rsidRPr="4A65D3D4">
        <w:rPr>
          <w:rFonts w:eastAsia="Calibri"/>
          <w:sz w:val="20"/>
          <w:szCs w:val="20"/>
          <w:lang w:val="de-DE"/>
        </w:rPr>
        <w:t>ein vollständig digitales, skalierbares und regulatorisch konformes AV-Depot-Angebot</w:t>
      </w:r>
      <w:r w:rsidR="59237917" w:rsidRPr="5162CA80">
        <w:rPr>
          <w:rFonts w:eastAsia="Calibri"/>
          <w:sz w:val="20"/>
          <w:szCs w:val="20"/>
          <w:lang w:val="de-DE"/>
        </w:rPr>
        <w:t xml:space="preserve"> </w:t>
      </w:r>
      <w:r w:rsidR="59237917" w:rsidRPr="0516241A">
        <w:rPr>
          <w:rFonts w:eastAsia="Calibri"/>
          <w:sz w:val="20"/>
          <w:szCs w:val="20"/>
          <w:lang w:val="de-DE"/>
        </w:rPr>
        <w:t>bieten</w:t>
      </w:r>
      <w:r w:rsidRPr="0516241A">
        <w:rPr>
          <w:rFonts w:eastAsia="Calibri"/>
          <w:sz w:val="20"/>
          <w:szCs w:val="20"/>
          <w:lang w:val="de-DE"/>
        </w:rPr>
        <w:t>.“</w:t>
      </w:r>
    </w:p>
    <w:p w14:paraId="268B6172" w14:textId="77777777" w:rsidR="00954A96" w:rsidRPr="00954A96" w:rsidRDefault="00954A96" w:rsidP="00954A96">
      <w:pPr>
        <w:pStyle w:val="KeinLeerraum"/>
        <w:jc w:val="both"/>
        <w:rPr>
          <w:rFonts w:eastAsia="Calibri" w:cstheme="minorHAnsi"/>
          <w:sz w:val="20"/>
          <w:szCs w:val="20"/>
          <w:lang w:val="de-DE"/>
        </w:rPr>
      </w:pPr>
    </w:p>
    <w:p w14:paraId="4C260F55" w14:textId="3BDC30FE" w:rsidR="00954A96" w:rsidRPr="00A652A9" w:rsidRDefault="00954A96" w:rsidP="00954A96">
      <w:pPr>
        <w:pStyle w:val="KeinLeerraum"/>
        <w:jc w:val="both"/>
        <w:rPr>
          <w:rFonts w:eastAsia="Calibri" w:cstheme="minorHAnsi"/>
          <w:sz w:val="20"/>
          <w:szCs w:val="20"/>
          <w:lang w:val="de-DE"/>
        </w:rPr>
      </w:pPr>
      <w:r w:rsidRPr="00A652A9">
        <w:rPr>
          <w:rFonts w:eastAsia="Calibri" w:cstheme="minorHAnsi"/>
          <w:b/>
          <w:bCs/>
          <w:sz w:val="20"/>
          <w:szCs w:val="20"/>
          <w:lang w:val="de-DE"/>
        </w:rPr>
        <w:lastRenderedPageBreak/>
        <w:t>Sebastian Höft, Global Head of Business Development bei MorgenFund</w:t>
      </w:r>
      <w:r w:rsidRPr="00A652A9">
        <w:rPr>
          <w:rFonts w:eastAsia="Calibri" w:cstheme="minorHAnsi"/>
          <w:sz w:val="20"/>
          <w:szCs w:val="20"/>
          <w:lang w:val="de-DE"/>
        </w:rPr>
        <w:t>, ergänzt: „</w:t>
      </w:r>
      <w:r w:rsidR="00A652A9" w:rsidRPr="00CE46E6">
        <w:rPr>
          <w:rFonts w:eastAsia="Calibri" w:cstheme="minorHAnsi"/>
          <w:sz w:val="20"/>
          <w:szCs w:val="20"/>
          <w:lang w:val="de-DE"/>
        </w:rPr>
        <w:t>Mit dieser Partnerschaft setzen wir einen neuen digitalen Impuls für die Altersvorsorge. Wir ermöglichen unseren Vertriebspartnern ein modernes Beratungserlebnis und schaffen für Endanleger eine intuitive User Experience, die Altersvorsorge einfacher, zugänglicher und wieder attraktiver macht.</w:t>
      </w:r>
      <w:r w:rsidRPr="00A652A9">
        <w:rPr>
          <w:rFonts w:eastAsia="Calibri" w:cstheme="minorHAnsi"/>
          <w:sz w:val="20"/>
          <w:szCs w:val="20"/>
          <w:lang w:val="de-DE"/>
        </w:rPr>
        <w:t>“</w:t>
      </w:r>
    </w:p>
    <w:p w14:paraId="1CC916BC" w14:textId="77777777" w:rsidR="00C64AB6" w:rsidRPr="00A652A9" w:rsidRDefault="00C64AB6" w:rsidP="00954A96">
      <w:pPr>
        <w:pStyle w:val="KeinLeerraum"/>
        <w:jc w:val="both"/>
        <w:rPr>
          <w:rFonts w:eastAsia="Calibri" w:cstheme="minorHAnsi"/>
          <w:sz w:val="20"/>
          <w:szCs w:val="20"/>
          <w:lang w:val="de-DE"/>
        </w:rPr>
      </w:pPr>
    </w:p>
    <w:p w14:paraId="51CC9F1D" w14:textId="01B0BA54" w:rsidR="00954A96" w:rsidRPr="00A652A9" w:rsidRDefault="008771A8" w:rsidP="00954A96">
      <w:pPr>
        <w:pStyle w:val="KeinLeerraum"/>
        <w:jc w:val="both"/>
        <w:rPr>
          <w:rFonts w:eastAsia="Calibri" w:cstheme="minorHAnsi"/>
          <w:sz w:val="20"/>
          <w:szCs w:val="20"/>
          <w:lang w:val="de-DE"/>
        </w:rPr>
      </w:pPr>
      <w:r w:rsidRPr="00A652A9">
        <w:rPr>
          <w:rFonts w:eastAsia="Calibri" w:cstheme="minorHAnsi"/>
          <w:sz w:val="20"/>
          <w:szCs w:val="20"/>
          <w:lang w:val="de-DE"/>
        </w:rPr>
        <w:t>Das neue AV-Depot</w:t>
      </w:r>
      <w:r w:rsidR="00954A96" w:rsidRPr="00A652A9">
        <w:rPr>
          <w:rFonts w:eastAsia="Calibri" w:cstheme="minorHAnsi"/>
          <w:sz w:val="20"/>
          <w:szCs w:val="20"/>
          <w:lang w:val="de-DE"/>
        </w:rPr>
        <w:t xml:space="preserve"> soll vorbehaltlich der geltenden regulatorischen, vertraglichen und operativen Anforderungen über ausgewählte Vertriebspartner verfügbar gemacht werden.</w:t>
      </w:r>
    </w:p>
    <w:p w14:paraId="3200F2AE" w14:textId="77777777" w:rsidR="00954A96" w:rsidRPr="00A652A9" w:rsidRDefault="00954A96" w:rsidP="00954A96">
      <w:pPr>
        <w:pStyle w:val="KeinLeerraum"/>
        <w:jc w:val="both"/>
        <w:rPr>
          <w:rFonts w:eastAsia="Calibri" w:cstheme="minorHAnsi"/>
          <w:sz w:val="20"/>
          <w:szCs w:val="20"/>
          <w:lang w:val="de-DE"/>
        </w:rPr>
      </w:pPr>
    </w:p>
    <w:p w14:paraId="696ABA33" w14:textId="77777777" w:rsidR="00954A96" w:rsidRPr="00CE46E6" w:rsidRDefault="00954A96" w:rsidP="00954A96">
      <w:pPr>
        <w:pStyle w:val="KeinLeerraum"/>
        <w:jc w:val="both"/>
        <w:rPr>
          <w:rFonts w:eastAsia="Calibri" w:cstheme="minorHAnsi"/>
          <w:b/>
          <w:bCs/>
          <w:sz w:val="20"/>
          <w:szCs w:val="20"/>
          <w:lang w:val="de-DE"/>
        </w:rPr>
      </w:pPr>
      <w:r w:rsidRPr="00CE46E6">
        <w:rPr>
          <w:rFonts w:eastAsia="Calibri" w:cstheme="minorHAnsi"/>
          <w:b/>
          <w:bCs/>
          <w:sz w:val="20"/>
          <w:szCs w:val="20"/>
          <w:lang w:val="de-DE"/>
        </w:rPr>
        <w:t>Über MorgenFund</w:t>
      </w:r>
    </w:p>
    <w:p w14:paraId="3EA6EEFE" w14:textId="77777777" w:rsidR="00FA715E" w:rsidRPr="00000B57" w:rsidRDefault="00FA715E" w:rsidP="00FA715E">
      <w:pPr>
        <w:pStyle w:val="KeinLeerraum"/>
        <w:jc w:val="both"/>
        <w:rPr>
          <w:rFonts w:eastAsia="Calibri" w:cstheme="minorHAnsi"/>
          <w:sz w:val="20"/>
          <w:szCs w:val="20"/>
          <w:lang w:val="de-DE"/>
        </w:rPr>
      </w:pPr>
      <w:r w:rsidRPr="00A652A9">
        <w:rPr>
          <w:rFonts w:eastAsia="Calibri" w:cstheme="minorHAnsi"/>
          <w:sz w:val="20"/>
          <w:szCs w:val="20"/>
          <w:lang w:val="de-DE"/>
        </w:rPr>
        <w:t>MorgenFund ist eine unabhängige und kundenorientierte Fondsplattform mit Sitz in Frankfurt am Main. Mit einfachen und flexiblen</w:t>
      </w:r>
      <w:r w:rsidRPr="00000B57">
        <w:rPr>
          <w:rFonts w:eastAsia="Calibri" w:cstheme="minorHAnsi"/>
          <w:sz w:val="20"/>
          <w:szCs w:val="20"/>
          <w:lang w:val="de-DE"/>
        </w:rPr>
        <w:t xml:space="preserve"> Depotlösungen bietet MorgenFund privaten und institutionellen Kundengruppen Zugang zu einem breiten Fonds</w:t>
      </w:r>
      <w:r w:rsidRPr="00000B57">
        <w:rPr>
          <w:rFonts w:eastAsia="Calibri" w:cstheme="minorHAnsi"/>
          <w:sz w:val="20"/>
          <w:szCs w:val="20"/>
          <w:lang w:val="de-DE"/>
        </w:rPr>
        <w:noBreakHyphen/>
        <w:t xml:space="preserve"> und ETF</w:t>
      </w:r>
      <w:r w:rsidRPr="00000B57">
        <w:rPr>
          <w:rFonts w:eastAsia="Calibri" w:cstheme="minorHAnsi"/>
          <w:sz w:val="20"/>
          <w:szCs w:val="20"/>
          <w:lang w:val="de-DE"/>
        </w:rPr>
        <w:noBreakHyphen/>
        <w:t>Universum. Aktuell verwaltet das Unternehmen ein Depotvolumen von rund 110 Milliarden Euro.</w:t>
      </w:r>
    </w:p>
    <w:p w14:paraId="252B5540" w14:textId="77777777" w:rsidR="00FA715E" w:rsidRPr="00000B57" w:rsidRDefault="00FA715E" w:rsidP="00FA715E">
      <w:pPr>
        <w:pStyle w:val="KeinLeerraum"/>
        <w:jc w:val="both"/>
        <w:rPr>
          <w:rFonts w:eastAsia="Calibri" w:cstheme="minorHAnsi"/>
          <w:sz w:val="20"/>
          <w:szCs w:val="20"/>
          <w:lang w:val="de-DE"/>
        </w:rPr>
      </w:pPr>
      <w:r w:rsidRPr="00000B57">
        <w:rPr>
          <w:rFonts w:eastAsia="Calibri" w:cstheme="minorHAnsi"/>
          <w:sz w:val="20"/>
          <w:szCs w:val="20"/>
          <w:lang w:val="de-DE"/>
        </w:rPr>
        <w:t> </w:t>
      </w:r>
    </w:p>
    <w:p w14:paraId="0A723CF6" w14:textId="77777777" w:rsidR="00FA715E" w:rsidRPr="00000B57" w:rsidRDefault="00FA715E" w:rsidP="00FA715E">
      <w:pPr>
        <w:pStyle w:val="KeinLeerraum"/>
        <w:jc w:val="both"/>
        <w:rPr>
          <w:rFonts w:eastAsia="Calibri" w:cstheme="minorHAnsi"/>
          <w:sz w:val="20"/>
          <w:szCs w:val="20"/>
          <w:lang w:val="de-DE"/>
        </w:rPr>
      </w:pPr>
      <w:r w:rsidRPr="00000B57">
        <w:rPr>
          <w:rFonts w:eastAsia="Calibri" w:cstheme="minorHAnsi"/>
          <w:sz w:val="20"/>
          <w:szCs w:val="20"/>
          <w:lang w:val="de-DE"/>
        </w:rPr>
        <w:t>Hinter MorgenFund steht ein agiles und branchenerfahrenes Team, das Verlässlichkeit und regulatorische Sicherheit mit Innovationskraft verbindet. Das Unternehmen verfügt über 25 Jahre Erfahrung in der Abwicklung staatlich geförderter Altersvorsorgeprodukte – insbesondere der Riester</w:t>
      </w:r>
      <w:r w:rsidRPr="00000B57">
        <w:rPr>
          <w:rFonts w:eastAsia="Calibri" w:cstheme="minorHAnsi"/>
          <w:sz w:val="20"/>
          <w:szCs w:val="20"/>
          <w:lang w:val="de-DE"/>
        </w:rPr>
        <w:noBreakHyphen/>
        <w:t>Rente – unter hohen regulatorischen und prozessualen Anforderungen. MorgenFund kombiniert persönliche Expertise mit moderner Plattform</w:t>
      </w:r>
      <w:r w:rsidRPr="00000B57">
        <w:rPr>
          <w:rFonts w:eastAsia="Calibri" w:cstheme="minorHAnsi"/>
          <w:sz w:val="20"/>
          <w:szCs w:val="20"/>
          <w:lang w:val="de-DE"/>
        </w:rPr>
        <w:noBreakHyphen/>
        <w:t>Technologie und entwickelt gemeinsam mit Kunden und Partnern zukunftsfähige Investment</w:t>
      </w:r>
      <w:r w:rsidRPr="00000B57">
        <w:rPr>
          <w:rFonts w:eastAsia="Calibri" w:cstheme="minorHAnsi"/>
          <w:sz w:val="20"/>
          <w:szCs w:val="20"/>
          <w:lang w:val="de-DE"/>
        </w:rPr>
        <w:noBreakHyphen/>
        <w:t xml:space="preserve"> und Vorsorgelösungen.</w:t>
      </w:r>
    </w:p>
    <w:p w14:paraId="013DF910" w14:textId="77777777" w:rsidR="00954A96" w:rsidRPr="00BC56FD" w:rsidRDefault="00954A96" w:rsidP="00954A96">
      <w:pPr>
        <w:pStyle w:val="KeinLeerraum"/>
        <w:jc w:val="both"/>
        <w:rPr>
          <w:rFonts w:eastAsia="Calibri" w:cstheme="minorHAnsi"/>
          <w:sz w:val="20"/>
          <w:szCs w:val="20"/>
          <w:lang w:val="de-DE"/>
        </w:rPr>
      </w:pPr>
    </w:p>
    <w:p w14:paraId="3B55DFCF" w14:textId="41889D0D" w:rsidR="002935DC" w:rsidRPr="00BC56FD" w:rsidRDefault="00954A96" w:rsidP="00954A96">
      <w:pPr>
        <w:pStyle w:val="KeinLeerraum"/>
        <w:jc w:val="both"/>
        <w:rPr>
          <w:rFonts w:eastAsia="Calibri" w:cstheme="minorHAnsi"/>
          <w:sz w:val="20"/>
          <w:szCs w:val="20"/>
          <w:lang w:val="de-DE"/>
        </w:rPr>
      </w:pPr>
      <w:r w:rsidRPr="00BC56FD">
        <w:rPr>
          <w:rFonts w:eastAsia="Calibri" w:cstheme="minorHAnsi"/>
          <w:sz w:val="20"/>
          <w:szCs w:val="20"/>
          <w:lang w:val="de-DE"/>
        </w:rPr>
        <w:t>Weitere Informationen finden Sie unter morgenfund.com und auf LinkedIn.</w:t>
      </w:r>
    </w:p>
    <w:p w14:paraId="0B040C28" w14:textId="77777777" w:rsidR="00954A96" w:rsidRPr="00954A96" w:rsidRDefault="00954A96" w:rsidP="00954A96">
      <w:pPr>
        <w:pStyle w:val="KeinLeerraum"/>
        <w:jc w:val="both"/>
        <w:rPr>
          <w:rFonts w:eastAsia="Calibri" w:cstheme="minorHAnsi"/>
          <w:sz w:val="20"/>
          <w:szCs w:val="20"/>
          <w:lang w:val="de-DE"/>
        </w:rPr>
      </w:pPr>
    </w:p>
    <w:p w14:paraId="0DAADABC" w14:textId="221FDC5F" w:rsidR="006B490C" w:rsidRPr="00954A96" w:rsidRDefault="006B490C" w:rsidP="002935DC">
      <w:pPr>
        <w:pStyle w:val="KeinLeerraum"/>
        <w:jc w:val="center"/>
        <w:rPr>
          <w:rFonts w:cstheme="minorHAnsi"/>
          <w:i/>
          <w:iCs/>
          <w:sz w:val="20"/>
          <w:szCs w:val="20"/>
          <w:lang w:val="de-DE"/>
        </w:rPr>
      </w:pPr>
      <w:r w:rsidRPr="00954A96">
        <w:rPr>
          <w:rFonts w:eastAsia="Calibri" w:cstheme="minorHAnsi"/>
          <w:sz w:val="20"/>
          <w:szCs w:val="20"/>
          <w:lang w:val="de-DE"/>
        </w:rPr>
        <w:t>-ENDS-</w:t>
      </w:r>
    </w:p>
    <w:p w14:paraId="656B4CA6" w14:textId="77777777" w:rsidR="00953827" w:rsidRPr="00954A96" w:rsidRDefault="00953827" w:rsidP="00D339F0">
      <w:pPr>
        <w:pStyle w:val="KeinLeerraum"/>
        <w:rPr>
          <w:rFonts w:cstheme="minorHAnsi"/>
          <w:i/>
          <w:iCs/>
          <w:sz w:val="20"/>
          <w:szCs w:val="20"/>
          <w:lang w:val="de-DE"/>
        </w:rPr>
      </w:pPr>
    </w:p>
    <w:p w14:paraId="6105F6F0" w14:textId="77777777" w:rsidR="00483EBF" w:rsidRPr="00954A96" w:rsidRDefault="00483EBF" w:rsidP="00953827">
      <w:pPr>
        <w:spacing w:after="240"/>
        <w:ind w:left="0"/>
        <w:jc w:val="both"/>
        <w:rPr>
          <w:rFonts w:cs="Arial"/>
          <w:b/>
          <w:bCs/>
          <w:color w:val="000000"/>
          <w:sz w:val="18"/>
          <w:szCs w:val="18"/>
          <w:u w:val="single"/>
          <w:lang w:val="de-DE"/>
        </w:rPr>
      </w:pPr>
    </w:p>
    <w:p w14:paraId="6D225E69" w14:textId="77777777" w:rsidR="00954A96" w:rsidRPr="00954A96" w:rsidRDefault="00954A96" w:rsidP="00954A96">
      <w:pPr>
        <w:spacing w:line="260" w:lineRule="exact"/>
        <w:ind w:left="0"/>
        <w:rPr>
          <w:rFonts w:cs="Arial"/>
          <w:b/>
          <w:bCs/>
          <w:color w:val="000000"/>
          <w:sz w:val="18"/>
          <w:szCs w:val="18"/>
          <w:lang w:val="de-DE"/>
        </w:rPr>
      </w:pPr>
      <w:r w:rsidRPr="00954A96">
        <w:rPr>
          <w:rFonts w:cs="Arial"/>
          <w:b/>
          <w:bCs/>
          <w:color w:val="000000"/>
          <w:sz w:val="18"/>
          <w:szCs w:val="18"/>
          <w:lang w:val="de-DE"/>
        </w:rPr>
        <w:t>Hinweise für die Redaktion</w:t>
      </w:r>
    </w:p>
    <w:p w14:paraId="6D3B0C7A" w14:textId="77777777" w:rsidR="00954A96" w:rsidRDefault="00954A96" w:rsidP="00954A96">
      <w:pPr>
        <w:spacing w:line="260" w:lineRule="exact"/>
        <w:ind w:left="0"/>
        <w:rPr>
          <w:rFonts w:cs="Arial"/>
          <w:color w:val="000000"/>
          <w:sz w:val="18"/>
          <w:szCs w:val="18"/>
          <w:lang w:val="de-DE"/>
        </w:rPr>
      </w:pPr>
    </w:p>
    <w:p w14:paraId="5A8CCABE" w14:textId="728B835A"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t>Dies ist eine Marketingmitteilung.</w:t>
      </w:r>
    </w:p>
    <w:p w14:paraId="6847075B" w14:textId="77777777" w:rsidR="00954A96" w:rsidRDefault="00954A96" w:rsidP="00954A96">
      <w:pPr>
        <w:spacing w:line="260" w:lineRule="exact"/>
        <w:ind w:left="0"/>
        <w:rPr>
          <w:rFonts w:cs="Arial"/>
          <w:color w:val="000000"/>
          <w:sz w:val="18"/>
          <w:szCs w:val="18"/>
          <w:lang w:val="de-DE"/>
        </w:rPr>
      </w:pPr>
    </w:p>
    <w:p w14:paraId="664ACABD" w14:textId="47BFAD07" w:rsidR="00954A96" w:rsidRPr="00FA71C0" w:rsidRDefault="00954A96" w:rsidP="00FA71C0">
      <w:pPr>
        <w:pStyle w:val="Listenabsatz"/>
        <w:numPr>
          <w:ilvl w:val="0"/>
          <w:numId w:val="36"/>
        </w:numPr>
        <w:spacing w:line="260" w:lineRule="exact"/>
        <w:rPr>
          <w:rFonts w:cs="Arial"/>
          <w:color w:val="000000"/>
          <w:sz w:val="18"/>
          <w:szCs w:val="18"/>
          <w:lang w:val="de-DE"/>
        </w:rPr>
      </w:pPr>
      <w:r w:rsidRPr="00FA71C0">
        <w:rPr>
          <w:rFonts w:cs="Arial"/>
          <w:color w:val="000000"/>
          <w:sz w:val="18"/>
          <w:szCs w:val="18"/>
          <w:lang w:val="de-DE"/>
        </w:rPr>
        <w:t xml:space="preserve">Franklin Templeton ist ein verlässlicher Investmentpartner und bietet maßgeschneiderte Lösungen, die auf die strategischen Ziele seiner Kunden ausgerichtet sind. Mit umfassender Portfoliomanagement-Expertise über öffentliche und private Märkte hinweg verbindet das Unternehmen Investmentexzellenz mit modernster Technologie. Seit seiner Gründung im Jahr 1947 unterstützt Franklin Templeton seine Kunden durch strategische Partnerschaften, zukunftsgerichtete Einblicke und kontinuierliche Innovation – und stellt ihnen die Instrumente und Ressourcen zur Verfügung, um Veränderungen erfolgreich zu begegnen und Chancen zu nutzen. Weitere Informationen finden Sie unter franklintempleton.com und auf LinkedIn. Franklin Resources, Inc. [NYSE: BEN] </w:t>
      </w:r>
    </w:p>
    <w:p w14:paraId="5E50AE31" w14:textId="77777777" w:rsidR="00954A96" w:rsidRPr="00954A96" w:rsidRDefault="00954A96" w:rsidP="00FA71C0">
      <w:pPr>
        <w:spacing w:line="260" w:lineRule="exact"/>
        <w:ind w:left="720"/>
        <w:rPr>
          <w:rFonts w:cs="Arial"/>
          <w:color w:val="000000"/>
          <w:sz w:val="18"/>
          <w:szCs w:val="18"/>
          <w:lang w:val="de-DE"/>
        </w:rPr>
      </w:pPr>
      <w:r w:rsidRPr="00954A96">
        <w:rPr>
          <w:rFonts w:cs="Arial"/>
          <w:color w:val="000000"/>
          <w:sz w:val="18"/>
          <w:szCs w:val="18"/>
          <w:lang w:val="de-DE"/>
        </w:rPr>
        <w:t>Mit einem verwalteten Vermögen von mehr als 1,7 Billionen US-Dollar zum 30. April 2026 ist Franklin Templeton weltweit in mehr als 35 Ländern tätig.</w:t>
      </w:r>
    </w:p>
    <w:p w14:paraId="5C155656" w14:textId="77777777" w:rsidR="00FA71C0" w:rsidRDefault="00FA71C0" w:rsidP="00954A96">
      <w:pPr>
        <w:spacing w:line="260" w:lineRule="exact"/>
        <w:ind w:left="0"/>
        <w:rPr>
          <w:rFonts w:cs="Arial"/>
          <w:color w:val="000000"/>
          <w:sz w:val="18"/>
          <w:szCs w:val="18"/>
          <w:lang w:val="de-DE"/>
        </w:rPr>
      </w:pPr>
    </w:p>
    <w:p w14:paraId="58377F77" w14:textId="260D0213"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t>Diese Pressemitteilung dient ausschließlich allgemeinen Informationszwecken und stellt keine professionelle Beratung dar. Franklin Templeton und seine Managementgesellschaften haben bei der Zusammenstellung und Verarbeitung der in dieser Pressemitteilung enthaltenen Informationen die gebotene fachliche Sorgfalt angewendet. Franklin Templeton übernimmt jedoch keine Zusicherungen oder Gewährleistungen hinsichtlich der Richtigkeit dieses Dokuments. Franklin Templeton haftet weder gegenüber Nutzern dieser Pressemitteilung noch gegenüber anderen Personen oder Einrichtungen für die Unrichtigkeit von Informationen in dieser Pressemitteilung oder für Fehler oder Auslassungen in deren Inhalt, unabhängig von der Ursache einer solchen Unrichtigkeit, eines Fehlers oder einer Auslassung.</w:t>
      </w:r>
    </w:p>
    <w:p w14:paraId="6421E71F" w14:textId="77777777"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t>Etwaige in diesem Dokument enthaltene Research- und Analyseinhalte wurden von Franklin Templeton für eigene Zwecke erstellt beziehungsweise eingeholt.</w:t>
      </w:r>
    </w:p>
    <w:p w14:paraId="03AC89E0" w14:textId="77777777"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t>Bitte konsultieren Sie Ihre Finanzberaterin oder Ihren Finanzberater, bevor Sie eine Anlageentscheidung treffen.</w:t>
      </w:r>
    </w:p>
    <w:p w14:paraId="0D320249" w14:textId="77777777"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lastRenderedPageBreak/>
        <w:t>In Europa herausgegeben von Franklin Templeton International Services S.à r.l. – beaufsichtigt durch die Commission de Surveillance du Secteur Financier – 8A, rue Albert Borschette, L-1246 Luxemburg. Tel.: +352-46 66 67-1.</w:t>
      </w:r>
    </w:p>
    <w:p w14:paraId="528E6EEE" w14:textId="77777777"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t>www.franklintempleton.lu</w:t>
      </w:r>
    </w:p>
    <w:p w14:paraId="3D427415" w14:textId="77777777"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t>Im Vereinigten Königreich herausgegeben von Franklin Templeton Investment Management Limited (FTIML). FTIML ist im Vereinigten Königreich durch die Financial Conduct Authority zugelassen und wird von ihr beaufsichtigt.</w:t>
      </w:r>
    </w:p>
    <w:p w14:paraId="396C1861" w14:textId="77777777" w:rsidR="00954A96" w:rsidRPr="00954A96" w:rsidRDefault="00954A96" w:rsidP="00954A96">
      <w:pPr>
        <w:spacing w:line="260" w:lineRule="exact"/>
        <w:ind w:left="0"/>
        <w:rPr>
          <w:rFonts w:cs="Arial"/>
          <w:color w:val="000000"/>
          <w:sz w:val="18"/>
          <w:szCs w:val="18"/>
          <w:lang w:val="de-DE"/>
        </w:rPr>
      </w:pPr>
      <w:r w:rsidRPr="00954A96">
        <w:rPr>
          <w:rFonts w:cs="Arial"/>
          <w:color w:val="000000"/>
          <w:sz w:val="18"/>
          <w:szCs w:val="18"/>
          <w:lang w:val="de-DE"/>
        </w:rPr>
        <w:t>Copyright © 2026 Franklin Templeton. Alle Rechte vorbehalten.</w:t>
      </w:r>
    </w:p>
    <w:p w14:paraId="3C81956A" w14:textId="77777777" w:rsidR="00186948" w:rsidRPr="00954A96" w:rsidRDefault="00186948" w:rsidP="00186948">
      <w:pPr>
        <w:spacing w:line="260" w:lineRule="exact"/>
        <w:ind w:left="0"/>
        <w:rPr>
          <w:bCs/>
          <w:i/>
          <w:spacing w:val="-2"/>
          <w:sz w:val="18"/>
          <w:szCs w:val="18"/>
          <w:lang w:val="de-DE"/>
        </w:rPr>
      </w:pPr>
    </w:p>
    <w:p w14:paraId="1E83F231" w14:textId="77777777" w:rsidR="00953827" w:rsidRPr="00954A96" w:rsidRDefault="00953827" w:rsidP="00D339F0">
      <w:pPr>
        <w:pStyle w:val="KeinLeerraum"/>
        <w:rPr>
          <w:rFonts w:cstheme="minorHAnsi"/>
          <w:i/>
          <w:iCs/>
          <w:sz w:val="20"/>
          <w:szCs w:val="20"/>
          <w:lang w:val="de-DE"/>
        </w:rPr>
      </w:pPr>
    </w:p>
    <w:p w14:paraId="2A7E8018" w14:textId="77777777" w:rsidR="00D339F0" w:rsidRPr="00954A96" w:rsidRDefault="00D339F0" w:rsidP="00F461D1">
      <w:pPr>
        <w:pStyle w:val="KeinLeerraum"/>
        <w:rPr>
          <w:rFonts w:cstheme="minorHAnsi"/>
          <w:sz w:val="20"/>
          <w:szCs w:val="20"/>
          <w:lang w:val="de-DE"/>
        </w:rPr>
      </w:pPr>
    </w:p>
    <w:sectPr w:rsidR="00D339F0" w:rsidRPr="00954A96" w:rsidSect="0078631F">
      <w:headerReference w:type="default" r:id="rId11"/>
      <w:footerReference w:type="even" r:id="rId12"/>
      <w:footerReference w:type="default" r:id="rId13"/>
      <w:headerReference w:type="first" r:id="rId14"/>
      <w:footerReference w:type="first" r:id="rId15"/>
      <w:pgSz w:w="12240" w:h="15840" w:code="1"/>
      <w:pgMar w:top="2160" w:right="1440" w:bottom="259"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3700" w14:textId="77777777" w:rsidR="00135EFA" w:rsidRDefault="00135EFA">
      <w:r>
        <w:separator/>
      </w:r>
    </w:p>
  </w:endnote>
  <w:endnote w:type="continuationSeparator" w:id="0">
    <w:p w14:paraId="7BF04BE8" w14:textId="77777777" w:rsidR="00135EFA" w:rsidRDefault="00135EFA">
      <w:r>
        <w:continuationSeparator/>
      </w:r>
    </w:p>
  </w:endnote>
  <w:endnote w:type="continuationNotice" w:id="1">
    <w:p w14:paraId="3EB55C8E" w14:textId="77777777" w:rsidR="00135EFA" w:rsidRDefault="00135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738A" w14:textId="36BA8C8E" w:rsidR="00555A84" w:rsidRDefault="008771A8">
    <w:pPr>
      <w:framePr w:wrap="around" w:vAnchor="text" w:hAnchor="margin" w:xAlign="center" w:y="1"/>
    </w:pPr>
    <w:r>
      <w:rPr>
        <w:noProof/>
      </w:rPr>
      <mc:AlternateContent>
        <mc:Choice Requires="wps">
          <w:drawing>
            <wp:anchor distT="0" distB="0" distL="0" distR="0" simplePos="0" relativeHeight="251658244" behindDoc="0" locked="0" layoutInCell="1" allowOverlap="1" wp14:anchorId="2DAEF9E8" wp14:editId="65425C41">
              <wp:simplePos x="635" y="635"/>
              <wp:positionH relativeFrom="page">
                <wp:align>center</wp:align>
              </wp:positionH>
              <wp:positionV relativeFrom="page">
                <wp:align>bottom</wp:align>
              </wp:positionV>
              <wp:extent cx="1696720" cy="345440"/>
              <wp:effectExtent l="0" t="0" r="17780" b="0"/>
              <wp:wrapNone/>
              <wp:docPr id="1464966942" name="Textfeld 3" descr="Classification: Internal">
                <a:extLst xmlns:a="http://schemas.openxmlformats.org/drawingml/2006/main">
                  <a:ext uri="{FF2B5EF4-FFF2-40B4-BE49-F238E27FC236}">
                    <a16:creationId xmlns:a16="http://schemas.microsoft.com/office/drawing/2014/main" id="{6BFEC563-5A9E-4042-AF2D-46BF25ADDB4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6720" cy="345440"/>
                      </a:xfrm>
                      <a:prstGeom prst="rect">
                        <a:avLst/>
                      </a:prstGeom>
                      <a:noFill/>
                      <a:ln>
                        <a:noFill/>
                      </a:ln>
                    </wps:spPr>
                    <wps:txbx>
                      <w:txbxContent>
                        <w:p w14:paraId="52699D33" w14:textId="38C08558" w:rsidR="008771A8" w:rsidRPr="008771A8" w:rsidRDefault="008771A8" w:rsidP="008771A8">
                          <w:pPr>
                            <w:rPr>
                              <w:rFonts w:ascii="Aptos" w:eastAsia="Aptos" w:hAnsi="Aptos" w:cs="Aptos"/>
                              <w:noProof/>
                              <w:color w:val="000000"/>
                            </w:rPr>
                          </w:pPr>
                          <w:r w:rsidRPr="008771A8">
                            <w:rPr>
                              <w:rFonts w:ascii="Aptos" w:eastAsia="Aptos" w:hAnsi="Aptos" w:cs="Aptos"/>
                              <w:noProof/>
                              <w:color w:val="00000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EF9E8" id="_x0000_t202" coordsize="21600,21600" o:spt="202" path="m,l,21600r21600,l21600,xe">
              <v:stroke joinstyle="miter"/>
              <v:path gradientshapeok="t" o:connecttype="rect"/>
            </v:shapetype>
            <v:shape id="Textfeld 3" o:spid="_x0000_s1027" type="#_x0000_t202" alt="Classification: Internal" style="position:absolute;left:0;text-align:left;margin-left:0;margin-top:0;width:133.6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" filled="f" stroked="f">
              <v:textbox style="mso-fit-shape-to-text:t" inset="0,0,0,15pt">
                <w:txbxContent>
                  <w:p w14:paraId="52699D33" w14:textId="38C08558" w:rsidR="008771A8" w:rsidRPr="008771A8" w:rsidRDefault="008771A8" w:rsidP="008771A8">
                    <w:pPr>
                      <w:rPr>
                        <w:rFonts w:ascii="Aptos" w:eastAsia="Aptos" w:hAnsi="Aptos" w:cs="Aptos"/>
                        <w:noProof/>
                        <w:color w:val="000000"/>
                      </w:rPr>
                    </w:pPr>
                    <w:r w:rsidRPr="008771A8">
                      <w:rPr>
                        <w:rFonts w:ascii="Aptos" w:eastAsia="Aptos" w:hAnsi="Aptos" w:cs="Aptos"/>
                        <w:noProof/>
                        <w:color w:val="000000"/>
                      </w:rPr>
                      <w:t>Classification: Internal</w:t>
                    </w:r>
                  </w:p>
                </w:txbxContent>
              </v:textbox>
              <w10:wrap anchorx="page" anchory="page"/>
            </v:shape>
          </w:pict>
        </mc:Fallback>
      </mc:AlternateContent>
    </w:r>
    <w:r w:rsidR="00555A84">
      <w:fldChar w:fldCharType="begin"/>
    </w:r>
    <w:r w:rsidR="00555A84">
      <w:instrText xml:space="preserve">PAGE  </w:instrText>
    </w:r>
    <w:r w:rsidR="00555A84">
      <w:fldChar w:fldCharType="separate"/>
    </w:r>
    <w:r w:rsidR="00555A84">
      <w:t>0</w:t>
    </w:r>
    <w:r w:rsidR="00555A84">
      <w:fldChar w:fldCharType="end"/>
    </w:r>
  </w:p>
  <w:p w14:paraId="3C116AB2" w14:textId="77777777" w:rsidR="00555A84" w:rsidRDefault="00555A84"/>
  <w:p w14:paraId="0337085B" w14:textId="77777777" w:rsidR="00555A84" w:rsidRDefault="00555A84"/>
  <w:p w14:paraId="71484ECB" w14:textId="77777777" w:rsidR="00555A84" w:rsidRDefault="00555A84"/>
  <w:p w14:paraId="7E03A360" w14:textId="77777777" w:rsidR="00555A84" w:rsidRDefault="00555A84"/>
  <w:p w14:paraId="6C9FA4B7" w14:textId="77777777" w:rsidR="00555A84" w:rsidRDefault="00555A84"/>
  <w:p w14:paraId="437EF0A6" w14:textId="77777777" w:rsidR="00555A84" w:rsidRDefault="00555A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EB31" w14:textId="7138F9FF" w:rsidR="00555A84" w:rsidRDefault="008771A8" w:rsidP="00777572">
    <w:pPr>
      <w:ind w:left="0"/>
    </w:pPr>
    <w:r>
      <w:rPr>
        <w:noProof/>
      </w:rPr>
      <mc:AlternateContent>
        <mc:Choice Requires="wps">
          <w:drawing>
            <wp:anchor distT="0" distB="0" distL="0" distR="0" simplePos="0" relativeHeight="251658245" behindDoc="0" locked="0" layoutInCell="1" allowOverlap="1" wp14:anchorId="31DBACBD" wp14:editId="06C5D393">
              <wp:simplePos x="914400" y="9547907"/>
              <wp:positionH relativeFrom="page">
                <wp:align>center</wp:align>
              </wp:positionH>
              <wp:positionV relativeFrom="page">
                <wp:align>bottom</wp:align>
              </wp:positionV>
              <wp:extent cx="1696720" cy="345440"/>
              <wp:effectExtent l="0" t="0" r="17780" b="0"/>
              <wp:wrapNone/>
              <wp:docPr id="1226815721" name="Textfeld 4" descr="Classification: Internal">
                <a:extLst xmlns:a="http://schemas.openxmlformats.org/drawingml/2006/main">
                  <a:ext uri="{FF2B5EF4-FFF2-40B4-BE49-F238E27FC236}">
                    <a16:creationId xmlns:a16="http://schemas.microsoft.com/office/drawing/2014/main" id="{CD119195-FBFC-4BC0-8792-8E738157A01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6720" cy="345440"/>
                      </a:xfrm>
                      <a:prstGeom prst="rect">
                        <a:avLst/>
                      </a:prstGeom>
                      <a:noFill/>
                      <a:ln>
                        <a:noFill/>
                      </a:ln>
                    </wps:spPr>
                    <wps:txbx>
                      <w:txbxContent>
                        <w:p w14:paraId="39C6BB20" w14:textId="180582DC" w:rsidR="008771A8" w:rsidRPr="008771A8" w:rsidRDefault="008771A8" w:rsidP="008771A8">
                          <w:pPr>
                            <w:rPr>
                              <w:rFonts w:ascii="Aptos" w:eastAsia="Aptos" w:hAnsi="Aptos" w:cs="Aptos"/>
                              <w:noProof/>
                              <w:color w:val="000000"/>
                            </w:rPr>
                          </w:pPr>
                          <w:r w:rsidRPr="008771A8">
                            <w:rPr>
                              <w:rFonts w:ascii="Aptos" w:eastAsia="Aptos" w:hAnsi="Aptos" w:cs="Aptos"/>
                              <w:noProof/>
                              <w:color w:val="00000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BACBD" id="_x0000_t202" coordsize="21600,21600" o:spt="202" path="m,l,21600r21600,l21600,xe">
              <v:stroke joinstyle="miter"/>
              <v:path gradientshapeok="t" o:connecttype="rect"/>
            </v:shapetype>
            <v:shape id="Textfeld 4" o:spid="_x0000_s1028" type="#_x0000_t202" alt="Classification: Internal" style="position:absolute;margin-left:0;margin-top:0;width:133.6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fyDgIAAB0EAAAOAAAAZHJzL2Uyb0RvYy54bWysU01v2zAMvQ/YfxB0X+xkad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" filled="f" stroked="f">
              <v:textbox style="mso-fit-shape-to-text:t" inset="0,0,0,15pt">
                <w:txbxContent>
                  <w:p w14:paraId="39C6BB20" w14:textId="180582DC" w:rsidR="008771A8" w:rsidRPr="008771A8" w:rsidRDefault="008771A8" w:rsidP="008771A8">
                    <w:pPr>
                      <w:rPr>
                        <w:rFonts w:ascii="Aptos" w:eastAsia="Aptos" w:hAnsi="Aptos" w:cs="Aptos"/>
                        <w:noProof/>
                        <w:color w:val="000000"/>
                      </w:rPr>
                    </w:pPr>
                    <w:r w:rsidRPr="008771A8">
                      <w:rPr>
                        <w:rFonts w:ascii="Aptos" w:eastAsia="Aptos" w:hAnsi="Aptos" w:cs="Aptos"/>
                        <w:noProof/>
                        <w:color w:val="00000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14C6" w14:textId="23590A41" w:rsidR="00555A84" w:rsidRPr="006F4A36" w:rsidRDefault="008771A8" w:rsidP="003039CF">
    <w:pPr>
      <w:pStyle w:val="06Disclosure"/>
      <w:tabs>
        <w:tab w:val="clear" w:pos="4320"/>
        <w:tab w:val="clear" w:pos="8640"/>
      </w:tabs>
      <w:ind w:right="0"/>
      <w:rPr>
        <w:spacing w:val="0"/>
      </w:rPr>
    </w:pPr>
    <w:r>
      <w:rPr>
        <w:noProof/>
        <w:spacing w:val="0"/>
      </w:rPr>
      <mc:AlternateContent>
        <mc:Choice Requires="wps">
          <w:drawing>
            <wp:anchor distT="0" distB="0" distL="0" distR="0" simplePos="0" relativeHeight="251658243" behindDoc="0" locked="0" layoutInCell="1" allowOverlap="1" wp14:anchorId="29EB340F" wp14:editId="5815EF1F">
              <wp:simplePos x="914400" y="9570346"/>
              <wp:positionH relativeFrom="page">
                <wp:align>center</wp:align>
              </wp:positionH>
              <wp:positionV relativeFrom="page">
                <wp:align>bottom</wp:align>
              </wp:positionV>
              <wp:extent cx="1696720" cy="345440"/>
              <wp:effectExtent l="0" t="0" r="17780" b="0"/>
              <wp:wrapNone/>
              <wp:docPr id="623174580" name="Textfeld 2" descr="Classification: Internal">
                <a:extLst xmlns:a="http://schemas.openxmlformats.org/drawingml/2006/main">
                  <a:ext uri="{FF2B5EF4-FFF2-40B4-BE49-F238E27FC236}">
                    <a16:creationId xmlns:a16="http://schemas.microsoft.com/office/drawing/2014/main" id="{D31956BA-CE4A-42F9-A03E-933218AF0C6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6720" cy="345440"/>
                      </a:xfrm>
                      <a:prstGeom prst="rect">
                        <a:avLst/>
                      </a:prstGeom>
                      <a:noFill/>
                      <a:ln>
                        <a:noFill/>
                      </a:ln>
                    </wps:spPr>
                    <wps:txbx>
                      <w:txbxContent>
                        <w:p w14:paraId="49CD6C44" w14:textId="68BF4FD5" w:rsidR="008771A8" w:rsidRPr="008771A8" w:rsidRDefault="008771A8" w:rsidP="008771A8">
                          <w:pPr>
                            <w:rPr>
                              <w:rFonts w:ascii="Aptos" w:eastAsia="Aptos" w:hAnsi="Aptos" w:cs="Aptos"/>
                              <w:noProof/>
                              <w:color w:val="000000"/>
                            </w:rPr>
                          </w:pPr>
                          <w:r w:rsidRPr="008771A8">
                            <w:rPr>
                              <w:rFonts w:ascii="Aptos" w:eastAsia="Aptos" w:hAnsi="Aptos" w:cs="Aptos"/>
                              <w:noProof/>
                              <w:color w:val="00000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B340F" id="_x0000_t202" coordsize="21600,21600" o:spt="202" path="m,l,21600r21600,l21600,xe">
              <v:stroke joinstyle="miter"/>
              <v:path gradientshapeok="t" o:connecttype="rect"/>
            </v:shapetype>
            <v:shape id="Textfeld 2" o:spid="_x0000_s1029" type="#_x0000_t202" alt="Classification: Internal" style="position:absolute;left:0;text-align:left;margin-left:0;margin-top:0;width:133.6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" filled="f" stroked="f">
              <v:textbox style="mso-fit-shape-to-text:t" inset="0,0,0,15pt">
                <w:txbxContent>
                  <w:p w14:paraId="49CD6C44" w14:textId="68BF4FD5" w:rsidR="008771A8" w:rsidRPr="008771A8" w:rsidRDefault="008771A8" w:rsidP="008771A8">
                    <w:pPr>
                      <w:rPr>
                        <w:rFonts w:ascii="Aptos" w:eastAsia="Aptos" w:hAnsi="Aptos" w:cs="Aptos"/>
                        <w:noProof/>
                        <w:color w:val="000000"/>
                      </w:rPr>
                    </w:pPr>
                    <w:r w:rsidRPr="008771A8">
                      <w:rPr>
                        <w:rFonts w:ascii="Aptos" w:eastAsia="Aptos" w:hAnsi="Aptos" w:cs="Aptos"/>
                        <w:noProof/>
                        <w:color w:val="00000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631E" w14:textId="77777777" w:rsidR="00135EFA" w:rsidRDefault="00135EFA">
      <w:r>
        <w:separator/>
      </w:r>
    </w:p>
  </w:footnote>
  <w:footnote w:type="continuationSeparator" w:id="0">
    <w:p w14:paraId="717554BE" w14:textId="77777777" w:rsidR="00135EFA" w:rsidRDefault="00135EFA">
      <w:r>
        <w:continuationSeparator/>
      </w:r>
    </w:p>
  </w:footnote>
  <w:footnote w:type="continuationNotice" w:id="1">
    <w:p w14:paraId="0053B66D" w14:textId="77777777" w:rsidR="00135EFA" w:rsidRDefault="00135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D9D3" w14:textId="5C359341" w:rsidR="00555A84" w:rsidRPr="00777572" w:rsidRDefault="00AE5499" w:rsidP="00777572">
    <w:pPr>
      <w:pStyle w:val="Kopfzeile"/>
      <w:ind w:left="0"/>
    </w:pPr>
    <w:r>
      <w:rPr>
        <w:noProof/>
      </w:rPr>
      <w:drawing>
        <wp:anchor distT="0" distB="0" distL="114300" distR="114300" simplePos="0" relativeHeight="251658242" behindDoc="1" locked="0" layoutInCell="0" allowOverlap="1" wp14:anchorId="0E5F0007" wp14:editId="3ED19829">
          <wp:simplePos x="0" y="0"/>
          <wp:positionH relativeFrom="margin">
            <wp:posOffset>-975360</wp:posOffset>
          </wp:positionH>
          <wp:positionV relativeFrom="margin">
            <wp:posOffset>-1950720</wp:posOffset>
          </wp:positionV>
          <wp:extent cx="7807960" cy="1082040"/>
          <wp:effectExtent l="0" t="0" r="2540" b="3810"/>
          <wp:wrapNone/>
          <wp:docPr id="906273891" name="WordPictureWatermark1443643730">
            <a:extLst xmlns:a="http://schemas.openxmlformats.org/drawingml/2006/main">
              <a:ext uri="{FF2B5EF4-FFF2-40B4-BE49-F238E27FC236}">
                <a16:creationId xmlns:a16="http://schemas.microsoft.com/office/drawing/2014/main" id="{4C69EA24-90ED-47FB-A2D3-C6EC46FF468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1161989" name="WordPictureWatermark1443643730"/>
                  <pic:cNvPicPr>
                    <a:picLocks/>
                  </pic:cNvPicPr>
                </pic:nvPicPr>
                <pic:blipFill rotWithShape="1">
                  <a:blip r:embed="rId1"/>
                  <a:srcRect l="45520" r="17280" b="70988"/>
                  <a:stretch>
                    <a:fillRect/>
                  </a:stretch>
                </pic:blipFill>
                <pic:spPr bwMode="auto">
                  <a:xfrm>
                    <a:off x="0" y="0"/>
                    <a:ext cx="7808544" cy="10821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6EAB" w14:textId="65CF3126" w:rsidR="00555A84" w:rsidRDefault="00AE5499" w:rsidP="00B514B9">
    <w:pPr>
      <w:pStyle w:val="Kopfzeile"/>
      <w:ind w:left="-378"/>
    </w:pPr>
    <w:r>
      <w:rPr>
        <w:noProof/>
      </w:rPr>
      <w:drawing>
        <wp:anchor distT="0" distB="0" distL="114300" distR="114300" simplePos="0" relativeHeight="251658241" behindDoc="1" locked="0" layoutInCell="0" allowOverlap="1" wp14:anchorId="1481DC7B" wp14:editId="20E863EF">
          <wp:simplePos x="0" y="0"/>
          <wp:positionH relativeFrom="page">
            <wp:align>left</wp:align>
          </wp:positionH>
          <wp:positionV relativeFrom="margin">
            <wp:posOffset>-1973580</wp:posOffset>
          </wp:positionV>
          <wp:extent cx="7807960" cy="1097280"/>
          <wp:effectExtent l="0" t="0" r="2540" b="7620"/>
          <wp:wrapNone/>
          <wp:docPr id="871161989" name="WordPictureWatermark1443643730">
            <a:extLst xmlns:a="http://schemas.openxmlformats.org/drawingml/2006/main">
              <a:ext uri="{FF2B5EF4-FFF2-40B4-BE49-F238E27FC236}">
                <a16:creationId xmlns:a16="http://schemas.microsoft.com/office/drawing/2014/main" id="{11AE8509-58EC-40DF-BFC2-1F1C112FAE7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1161989" name="WordPictureWatermark1443643730"/>
                  <pic:cNvPicPr>
                    <a:picLocks/>
                  </pic:cNvPicPr>
                </pic:nvPicPr>
                <pic:blipFill rotWithShape="1">
                  <a:blip r:embed="rId1"/>
                  <a:srcRect l="45520" r="17280" b="70988"/>
                  <a:stretch>
                    <a:fillRect/>
                  </a:stretch>
                </pic:blipFill>
                <pic:spPr bwMode="auto">
                  <a:xfrm>
                    <a:off x="0" y="0"/>
                    <a:ext cx="7807960" cy="1097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A7AAC6" wp14:editId="7DCBC2DC">
          <wp:simplePos x="0" y="0"/>
          <wp:positionH relativeFrom="page">
            <wp:posOffset>745490</wp:posOffset>
          </wp:positionH>
          <wp:positionV relativeFrom="page">
            <wp:posOffset>668069</wp:posOffset>
          </wp:positionV>
          <wp:extent cx="2426115" cy="893298"/>
          <wp:effectExtent l="0" t="0" r="0" b="0"/>
          <wp:wrapNone/>
          <wp:docPr id="512344200" name="Picture 512344200">
            <a:extLst xmlns:a="http://schemas.openxmlformats.org/drawingml/2006/main">
              <a:ext uri="{FF2B5EF4-FFF2-40B4-BE49-F238E27FC236}">
                <a16:creationId xmlns:a16="http://schemas.microsoft.com/office/drawing/2014/main" id="{E5F38AA7-84F3-410E-AB1A-86B34F224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bwMode="auto">
                  <a:xfrm>
                    <a:off x="0" y="0"/>
                    <a:ext cx="2426115" cy="8932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126A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A6C8F8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D68AA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0C02F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ADA5D8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B1C1D5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F56B1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1F0CAB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8B40C3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E121C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F4C3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8865AF"/>
    <w:multiLevelType w:val="multilevel"/>
    <w:tmpl w:val="934C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4F6325"/>
    <w:multiLevelType w:val="hybridMultilevel"/>
    <w:tmpl w:val="F3AC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75ABA"/>
    <w:multiLevelType w:val="hybridMultilevel"/>
    <w:tmpl w:val="FD42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0847A4"/>
    <w:multiLevelType w:val="hybridMultilevel"/>
    <w:tmpl w:val="64C8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F3793"/>
    <w:multiLevelType w:val="hybridMultilevel"/>
    <w:tmpl w:val="3FC0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855166">
    <w:abstractNumId w:val="5"/>
  </w:num>
  <w:num w:numId="2" w16cid:durableId="1061754368">
    <w:abstractNumId w:val="9"/>
  </w:num>
  <w:num w:numId="3" w16cid:durableId="1073117434">
    <w:abstractNumId w:val="7"/>
  </w:num>
  <w:num w:numId="4" w16cid:durableId="1196384203">
    <w:abstractNumId w:val="9"/>
  </w:num>
  <w:num w:numId="5" w16cid:durableId="119686929">
    <w:abstractNumId w:val="8"/>
  </w:num>
  <w:num w:numId="6" w16cid:durableId="1203785779">
    <w:abstractNumId w:val="9"/>
    <w:lvlOverride w:ilvl="0">
      <w:startOverride w:val="1"/>
    </w:lvlOverride>
  </w:num>
  <w:num w:numId="7" w16cid:durableId="1215123916">
    <w:abstractNumId w:val="6"/>
  </w:num>
  <w:num w:numId="8" w16cid:durableId="1361319815">
    <w:abstractNumId w:val="10"/>
  </w:num>
  <w:num w:numId="9" w16cid:durableId="1385175889">
    <w:abstractNumId w:val="7"/>
  </w:num>
  <w:num w:numId="10" w16cid:durableId="1457984289">
    <w:abstractNumId w:val="12"/>
  </w:num>
  <w:num w:numId="11" w16cid:durableId="1511020564">
    <w:abstractNumId w:val="8"/>
  </w:num>
  <w:num w:numId="12" w16cid:durableId="1594313511">
    <w:abstractNumId w:val="3"/>
    <w:lvlOverride w:ilvl="0">
      <w:startOverride w:val="1"/>
    </w:lvlOverride>
  </w:num>
  <w:num w:numId="13" w16cid:durableId="1647005750">
    <w:abstractNumId w:val="2"/>
  </w:num>
  <w:num w:numId="14" w16cid:durableId="1651514521">
    <w:abstractNumId w:val="6"/>
  </w:num>
  <w:num w:numId="15" w16cid:durableId="1692292660">
    <w:abstractNumId w:val="3"/>
  </w:num>
  <w:num w:numId="16" w16cid:durableId="1715351167">
    <w:abstractNumId w:val="13"/>
  </w:num>
  <w:num w:numId="17" w16cid:durableId="1779791999">
    <w:abstractNumId w:val="1"/>
  </w:num>
  <w:num w:numId="18" w16cid:durableId="1816992695">
    <w:abstractNumId w:val="10"/>
  </w:num>
  <w:num w:numId="19" w16cid:durableId="1834489420">
    <w:abstractNumId w:val="2"/>
    <w:lvlOverride w:ilvl="0">
      <w:startOverride w:val="1"/>
    </w:lvlOverride>
  </w:num>
  <w:num w:numId="20" w16cid:durableId="1864977232">
    <w:abstractNumId w:val="8"/>
  </w:num>
  <w:num w:numId="21" w16cid:durableId="1867866275">
    <w:abstractNumId w:val="1"/>
    <w:lvlOverride w:ilvl="0">
      <w:startOverride w:val="1"/>
    </w:lvlOverride>
  </w:num>
  <w:num w:numId="22" w16cid:durableId="1982878640">
    <w:abstractNumId w:val="4"/>
  </w:num>
  <w:num w:numId="23" w16cid:durableId="2034727022">
    <w:abstractNumId w:val="10"/>
  </w:num>
  <w:num w:numId="24" w16cid:durableId="2071540245">
    <w:abstractNumId w:val="5"/>
  </w:num>
  <w:num w:numId="25" w16cid:durableId="2110656170">
    <w:abstractNumId w:val="7"/>
  </w:num>
  <w:num w:numId="26" w16cid:durableId="2125733994">
    <w:abstractNumId w:val="4"/>
  </w:num>
  <w:num w:numId="27" w16cid:durableId="424498109">
    <w:abstractNumId w:val="6"/>
  </w:num>
  <w:num w:numId="28" w16cid:durableId="486670728">
    <w:abstractNumId w:val="14"/>
  </w:num>
  <w:num w:numId="29" w16cid:durableId="562642350">
    <w:abstractNumId w:val="2"/>
  </w:num>
  <w:num w:numId="30" w16cid:durableId="588583533">
    <w:abstractNumId w:val="1"/>
  </w:num>
  <w:num w:numId="31" w16cid:durableId="628323688">
    <w:abstractNumId w:val="4"/>
    <w:lvlOverride w:ilvl="0">
      <w:startOverride w:val="1"/>
    </w:lvlOverride>
  </w:num>
  <w:num w:numId="32" w16cid:durableId="679771537">
    <w:abstractNumId w:val="11"/>
  </w:num>
  <w:num w:numId="33" w16cid:durableId="723719715">
    <w:abstractNumId w:val="5"/>
  </w:num>
  <w:num w:numId="34" w16cid:durableId="750352746">
    <w:abstractNumId w:val="0"/>
  </w:num>
  <w:num w:numId="35" w16cid:durableId="9989017">
    <w:abstractNumId w:val="3"/>
  </w:num>
  <w:num w:numId="36" w16cid:durableId="308436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activeWritingStyle w:appName="MSWord" w:lang="en-US"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95"/>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1167B"/>
    <w:rsid w:val="00000B57"/>
    <w:rsid w:val="00000CF8"/>
    <w:rsid w:val="0000661C"/>
    <w:rsid w:val="000126FB"/>
    <w:rsid w:val="00013479"/>
    <w:rsid w:val="00016202"/>
    <w:rsid w:val="0001682F"/>
    <w:rsid w:val="00021FD8"/>
    <w:rsid w:val="00033B46"/>
    <w:rsid w:val="00034073"/>
    <w:rsid w:val="00040465"/>
    <w:rsid w:val="00044063"/>
    <w:rsid w:val="00044858"/>
    <w:rsid w:val="00050C13"/>
    <w:rsid w:val="00054A44"/>
    <w:rsid w:val="00054FEC"/>
    <w:rsid w:val="0005583D"/>
    <w:rsid w:val="00055E83"/>
    <w:rsid w:val="00057874"/>
    <w:rsid w:val="00061E77"/>
    <w:rsid w:val="00066189"/>
    <w:rsid w:val="00072458"/>
    <w:rsid w:val="00075E08"/>
    <w:rsid w:val="0008519B"/>
    <w:rsid w:val="00085FD3"/>
    <w:rsid w:val="0009240C"/>
    <w:rsid w:val="00096F0D"/>
    <w:rsid w:val="000A3772"/>
    <w:rsid w:val="000A3933"/>
    <w:rsid w:val="000A4D3A"/>
    <w:rsid w:val="000A6DB2"/>
    <w:rsid w:val="000B0B17"/>
    <w:rsid w:val="000B393F"/>
    <w:rsid w:val="000B639B"/>
    <w:rsid w:val="000B69AE"/>
    <w:rsid w:val="000B7939"/>
    <w:rsid w:val="000C50FB"/>
    <w:rsid w:val="000C76EB"/>
    <w:rsid w:val="000C792A"/>
    <w:rsid w:val="000D0EDD"/>
    <w:rsid w:val="000D3A30"/>
    <w:rsid w:val="000D7284"/>
    <w:rsid w:val="000D7C6C"/>
    <w:rsid w:val="000E3400"/>
    <w:rsid w:val="000E6596"/>
    <w:rsid w:val="000E7FD6"/>
    <w:rsid w:val="000F3D98"/>
    <w:rsid w:val="000F5EA2"/>
    <w:rsid w:val="0010243F"/>
    <w:rsid w:val="001037B2"/>
    <w:rsid w:val="00116677"/>
    <w:rsid w:val="00124AF9"/>
    <w:rsid w:val="00125878"/>
    <w:rsid w:val="00125ABD"/>
    <w:rsid w:val="001302B0"/>
    <w:rsid w:val="00135EFA"/>
    <w:rsid w:val="00141732"/>
    <w:rsid w:val="00142C44"/>
    <w:rsid w:val="0014327A"/>
    <w:rsid w:val="001560B5"/>
    <w:rsid w:val="00160D09"/>
    <w:rsid w:val="00161328"/>
    <w:rsid w:val="001626D0"/>
    <w:rsid w:val="00162C92"/>
    <w:rsid w:val="001706FA"/>
    <w:rsid w:val="0017108B"/>
    <w:rsid w:val="00176C79"/>
    <w:rsid w:val="0017702E"/>
    <w:rsid w:val="001827D7"/>
    <w:rsid w:val="00184525"/>
    <w:rsid w:val="001864EA"/>
    <w:rsid w:val="00186948"/>
    <w:rsid w:val="00193E1A"/>
    <w:rsid w:val="001971E4"/>
    <w:rsid w:val="001A1B51"/>
    <w:rsid w:val="001B3DE0"/>
    <w:rsid w:val="001C0405"/>
    <w:rsid w:val="001C211D"/>
    <w:rsid w:val="001C5DDD"/>
    <w:rsid w:val="001C660A"/>
    <w:rsid w:val="001D0F42"/>
    <w:rsid w:val="001D1767"/>
    <w:rsid w:val="001D2BD1"/>
    <w:rsid w:val="001D2E9A"/>
    <w:rsid w:val="001D2F97"/>
    <w:rsid w:val="001E4A9A"/>
    <w:rsid w:val="001E67AB"/>
    <w:rsid w:val="001F115A"/>
    <w:rsid w:val="001F1280"/>
    <w:rsid w:val="001F432E"/>
    <w:rsid w:val="001F4725"/>
    <w:rsid w:val="001F4773"/>
    <w:rsid w:val="001F7411"/>
    <w:rsid w:val="001F76C8"/>
    <w:rsid w:val="00202BA5"/>
    <w:rsid w:val="002047EA"/>
    <w:rsid w:val="00204BC0"/>
    <w:rsid w:val="00205BD2"/>
    <w:rsid w:val="00211205"/>
    <w:rsid w:val="002126D5"/>
    <w:rsid w:val="00220E06"/>
    <w:rsid w:val="002269F5"/>
    <w:rsid w:val="002310A2"/>
    <w:rsid w:val="00233A68"/>
    <w:rsid w:val="00240125"/>
    <w:rsid w:val="002430D2"/>
    <w:rsid w:val="00243AE9"/>
    <w:rsid w:val="00245B63"/>
    <w:rsid w:val="00250A0E"/>
    <w:rsid w:val="0025382B"/>
    <w:rsid w:val="00263502"/>
    <w:rsid w:val="00264831"/>
    <w:rsid w:val="00265407"/>
    <w:rsid w:val="00271094"/>
    <w:rsid w:val="00271B67"/>
    <w:rsid w:val="002720CA"/>
    <w:rsid w:val="00282DEC"/>
    <w:rsid w:val="002834F5"/>
    <w:rsid w:val="0028368A"/>
    <w:rsid w:val="00290764"/>
    <w:rsid w:val="00290C03"/>
    <w:rsid w:val="002935DC"/>
    <w:rsid w:val="00295675"/>
    <w:rsid w:val="002A15A6"/>
    <w:rsid w:val="002A2F6D"/>
    <w:rsid w:val="002A56B8"/>
    <w:rsid w:val="002B316E"/>
    <w:rsid w:val="002B4C79"/>
    <w:rsid w:val="002C0594"/>
    <w:rsid w:val="002C54FB"/>
    <w:rsid w:val="002D1EF7"/>
    <w:rsid w:val="002D3DAA"/>
    <w:rsid w:val="002D412C"/>
    <w:rsid w:val="002D529A"/>
    <w:rsid w:val="002E2D4D"/>
    <w:rsid w:val="002E42BD"/>
    <w:rsid w:val="002F24F2"/>
    <w:rsid w:val="002F2DE3"/>
    <w:rsid w:val="00301B09"/>
    <w:rsid w:val="003039CF"/>
    <w:rsid w:val="00305959"/>
    <w:rsid w:val="00305A66"/>
    <w:rsid w:val="0031218B"/>
    <w:rsid w:val="00317A41"/>
    <w:rsid w:val="00331867"/>
    <w:rsid w:val="00334319"/>
    <w:rsid w:val="003344FA"/>
    <w:rsid w:val="00340EEC"/>
    <w:rsid w:val="00346977"/>
    <w:rsid w:val="00347247"/>
    <w:rsid w:val="003523C8"/>
    <w:rsid w:val="00355DFA"/>
    <w:rsid w:val="00356705"/>
    <w:rsid w:val="0036279B"/>
    <w:rsid w:val="00365F23"/>
    <w:rsid w:val="00366E18"/>
    <w:rsid w:val="00371A45"/>
    <w:rsid w:val="003729AC"/>
    <w:rsid w:val="003737CF"/>
    <w:rsid w:val="00373A40"/>
    <w:rsid w:val="0037566E"/>
    <w:rsid w:val="0037680C"/>
    <w:rsid w:val="0038031F"/>
    <w:rsid w:val="00382DF1"/>
    <w:rsid w:val="00386F10"/>
    <w:rsid w:val="00393F8B"/>
    <w:rsid w:val="00394E58"/>
    <w:rsid w:val="003977A8"/>
    <w:rsid w:val="003A1C5A"/>
    <w:rsid w:val="003A297B"/>
    <w:rsid w:val="003A4317"/>
    <w:rsid w:val="003B108C"/>
    <w:rsid w:val="003C1EDC"/>
    <w:rsid w:val="003C36B0"/>
    <w:rsid w:val="003C3AF7"/>
    <w:rsid w:val="003C68EA"/>
    <w:rsid w:val="003D0EC3"/>
    <w:rsid w:val="003D3D4C"/>
    <w:rsid w:val="003D3E77"/>
    <w:rsid w:val="003D63E4"/>
    <w:rsid w:val="003D6CAB"/>
    <w:rsid w:val="003E2C41"/>
    <w:rsid w:val="003E3093"/>
    <w:rsid w:val="00401923"/>
    <w:rsid w:val="0040504F"/>
    <w:rsid w:val="00406844"/>
    <w:rsid w:val="00407878"/>
    <w:rsid w:val="00410E56"/>
    <w:rsid w:val="00412465"/>
    <w:rsid w:val="0041293B"/>
    <w:rsid w:val="004178F9"/>
    <w:rsid w:val="00420F14"/>
    <w:rsid w:val="00426020"/>
    <w:rsid w:val="00427195"/>
    <w:rsid w:val="0042797A"/>
    <w:rsid w:val="004304A0"/>
    <w:rsid w:val="004313A4"/>
    <w:rsid w:val="00433063"/>
    <w:rsid w:val="00433F2E"/>
    <w:rsid w:val="00434824"/>
    <w:rsid w:val="00440737"/>
    <w:rsid w:val="004427E1"/>
    <w:rsid w:val="0044320C"/>
    <w:rsid w:val="004452FA"/>
    <w:rsid w:val="00447FFB"/>
    <w:rsid w:val="00450613"/>
    <w:rsid w:val="004513FD"/>
    <w:rsid w:val="004514F3"/>
    <w:rsid w:val="004520FF"/>
    <w:rsid w:val="00452C99"/>
    <w:rsid w:val="00453074"/>
    <w:rsid w:val="00455898"/>
    <w:rsid w:val="00457030"/>
    <w:rsid w:val="00465C7B"/>
    <w:rsid w:val="00467562"/>
    <w:rsid w:val="00481509"/>
    <w:rsid w:val="00483EBF"/>
    <w:rsid w:val="00490B74"/>
    <w:rsid w:val="004A3F58"/>
    <w:rsid w:val="004A5D97"/>
    <w:rsid w:val="004B5964"/>
    <w:rsid w:val="004B74B2"/>
    <w:rsid w:val="004C3407"/>
    <w:rsid w:val="004C5D41"/>
    <w:rsid w:val="004D35EC"/>
    <w:rsid w:val="004D7334"/>
    <w:rsid w:val="004D7396"/>
    <w:rsid w:val="004E3018"/>
    <w:rsid w:val="004E5038"/>
    <w:rsid w:val="004E67DC"/>
    <w:rsid w:val="004E6D32"/>
    <w:rsid w:val="004E71D1"/>
    <w:rsid w:val="004F072E"/>
    <w:rsid w:val="004F180C"/>
    <w:rsid w:val="004F2E1D"/>
    <w:rsid w:val="004F3A8B"/>
    <w:rsid w:val="004F61BE"/>
    <w:rsid w:val="00500AD0"/>
    <w:rsid w:val="005048B2"/>
    <w:rsid w:val="0050593A"/>
    <w:rsid w:val="00524CD7"/>
    <w:rsid w:val="00526C04"/>
    <w:rsid w:val="00532C65"/>
    <w:rsid w:val="00533577"/>
    <w:rsid w:val="005363D4"/>
    <w:rsid w:val="00540910"/>
    <w:rsid w:val="00544C78"/>
    <w:rsid w:val="00547190"/>
    <w:rsid w:val="00551D75"/>
    <w:rsid w:val="00551D88"/>
    <w:rsid w:val="00555A84"/>
    <w:rsid w:val="00560544"/>
    <w:rsid w:val="00563B6B"/>
    <w:rsid w:val="0056549E"/>
    <w:rsid w:val="00572451"/>
    <w:rsid w:val="005739FC"/>
    <w:rsid w:val="00574D70"/>
    <w:rsid w:val="0058100F"/>
    <w:rsid w:val="005817BF"/>
    <w:rsid w:val="00583388"/>
    <w:rsid w:val="00585649"/>
    <w:rsid w:val="00585EC3"/>
    <w:rsid w:val="00586E30"/>
    <w:rsid w:val="00590705"/>
    <w:rsid w:val="005977A6"/>
    <w:rsid w:val="005A291B"/>
    <w:rsid w:val="005A2D09"/>
    <w:rsid w:val="005A7C39"/>
    <w:rsid w:val="005B2EB6"/>
    <w:rsid w:val="005B7B05"/>
    <w:rsid w:val="005C14CD"/>
    <w:rsid w:val="005C1F65"/>
    <w:rsid w:val="005C2765"/>
    <w:rsid w:val="005D09ED"/>
    <w:rsid w:val="005D370E"/>
    <w:rsid w:val="005E0529"/>
    <w:rsid w:val="005E0F16"/>
    <w:rsid w:val="005E4EE8"/>
    <w:rsid w:val="005E5F9F"/>
    <w:rsid w:val="005E6533"/>
    <w:rsid w:val="005F34B3"/>
    <w:rsid w:val="005F51C4"/>
    <w:rsid w:val="006004EB"/>
    <w:rsid w:val="006032C1"/>
    <w:rsid w:val="006051A6"/>
    <w:rsid w:val="006114EC"/>
    <w:rsid w:val="00613300"/>
    <w:rsid w:val="006142B1"/>
    <w:rsid w:val="00617305"/>
    <w:rsid w:val="00621281"/>
    <w:rsid w:val="0063072B"/>
    <w:rsid w:val="0063485F"/>
    <w:rsid w:val="0063508C"/>
    <w:rsid w:val="00642655"/>
    <w:rsid w:val="0065699C"/>
    <w:rsid w:val="00656AD4"/>
    <w:rsid w:val="006601D3"/>
    <w:rsid w:val="006649E1"/>
    <w:rsid w:val="00665035"/>
    <w:rsid w:val="00673606"/>
    <w:rsid w:val="00674357"/>
    <w:rsid w:val="00674CA5"/>
    <w:rsid w:val="006767AD"/>
    <w:rsid w:val="00687E3B"/>
    <w:rsid w:val="00687E4E"/>
    <w:rsid w:val="00687E54"/>
    <w:rsid w:val="00691B51"/>
    <w:rsid w:val="006949D8"/>
    <w:rsid w:val="00695259"/>
    <w:rsid w:val="00697B94"/>
    <w:rsid w:val="006A254A"/>
    <w:rsid w:val="006B490C"/>
    <w:rsid w:val="006B4EB5"/>
    <w:rsid w:val="006B5A4E"/>
    <w:rsid w:val="006B6F28"/>
    <w:rsid w:val="006C2079"/>
    <w:rsid w:val="006C38DD"/>
    <w:rsid w:val="006E3AE3"/>
    <w:rsid w:val="006E4738"/>
    <w:rsid w:val="006E4791"/>
    <w:rsid w:val="006E538F"/>
    <w:rsid w:val="006E6449"/>
    <w:rsid w:val="006F4A36"/>
    <w:rsid w:val="006F5D58"/>
    <w:rsid w:val="006F682B"/>
    <w:rsid w:val="00700E78"/>
    <w:rsid w:val="00710C56"/>
    <w:rsid w:val="00710CF5"/>
    <w:rsid w:val="00711580"/>
    <w:rsid w:val="00716F02"/>
    <w:rsid w:val="00724393"/>
    <w:rsid w:val="00727317"/>
    <w:rsid w:val="007333FA"/>
    <w:rsid w:val="00733A8F"/>
    <w:rsid w:val="00734EC7"/>
    <w:rsid w:val="00736A3F"/>
    <w:rsid w:val="00743C31"/>
    <w:rsid w:val="00745B07"/>
    <w:rsid w:val="00747F17"/>
    <w:rsid w:val="00754AC2"/>
    <w:rsid w:val="00755191"/>
    <w:rsid w:val="00755D9F"/>
    <w:rsid w:val="00756318"/>
    <w:rsid w:val="00757946"/>
    <w:rsid w:val="00757E3E"/>
    <w:rsid w:val="007662A9"/>
    <w:rsid w:val="00766823"/>
    <w:rsid w:val="00767171"/>
    <w:rsid w:val="007674B6"/>
    <w:rsid w:val="00771AD9"/>
    <w:rsid w:val="00775285"/>
    <w:rsid w:val="007764DF"/>
    <w:rsid w:val="00777572"/>
    <w:rsid w:val="0078512E"/>
    <w:rsid w:val="0078631F"/>
    <w:rsid w:val="00786773"/>
    <w:rsid w:val="0079110E"/>
    <w:rsid w:val="007933EF"/>
    <w:rsid w:val="007A119D"/>
    <w:rsid w:val="007A17AC"/>
    <w:rsid w:val="007B0D19"/>
    <w:rsid w:val="007B143B"/>
    <w:rsid w:val="007B6E82"/>
    <w:rsid w:val="007C0DC1"/>
    <w:rsid w:val="007C116E"/>
    <w:rsid w:val="007D4C85"/>
    <w:rsid w:val="007D560D"/>
    <w:rsid w:val="007D5D5C"/>
    <w:rsid w:val="007E761C"/>
    <w:rsid w:val="007F3DAF"/>
    <w:rsid w:val="007F6587"/>
    <w:rsid w:val="0080738F"/>
    <w:rsid w:val="00807755"/>
    <w:rsid w:val="0081167B"/>
    <w:rsid w:val="008116C9"/>
    <w:rsid w:val="00813000"/>
    <w:rsid w:val="0082086C"/>
    <w:rsid w:val="00826AED"/>
    <w:rsid w:val="008274B7"/>
    <w:rsid w:val="00827882"/>
    <w:rsid w:val="00835E6C"/>
    <w:rsid w:val="00837FBD"/>
    <w:rsid w:val="008427F0"/>
    <w:rsid w:val="0084526E"/>
    <w:rsid w:val="00845A02"/>
    <w:rsid w:val="00846567"/>
    <w:rsid w:val="008510EE"/>
    <w:rsid w:val="00852609"/>
    <w:rsid w:val="008532E1"/>
    <w:rsid w:val="00855BC8"/>
    <w:rsid w:val="008560D8"/>
    <w:rsid w:val="0085732A"/>
    <w:rsid w:val="0087082F"/>
    <w:rsid w:val="00871B6F"/>
    <w:rsid w:val="00872FE8"/>
    <w:rsid w:val="008771A8"/>
    <w:rsid w:val="00877B39"/>
    <w:rsid w:val="008818AB"/>
    <w:rsid w:val="00883A45"/>
    <w:rsid w:val="00887D2B"/>
    <w:rsid w:val="008901A1"/>
    <w:rsid w:val="0089114D"/>
    <w:rsid w:val="00892FE1"/>
    <w:rsid w:val="00897D96"/>
    <w:rsid w:val="008A0086"/>
    <w:rsid w:val="008A5128"/>
    <w:rsid w:val="008B3999"/>
    <w:rsid w:val="008B5DD2"/>
    <w:rsid w:val="008C47A6"/>
    <w:rsid w:val="008C4AF5"/>
    <w:rsid w:val="008C70F2"/>
    <w:rsid w:val="008D6D8B"/>
    <w:rsid w:val="008D6EB4"/>
    <w:rsid w:val="008E2EB8"/>
    <w:rsid w:val="008E3FFA"/>
    <w:rsid w:val="008E4BEB"/>
    <w:rsid w:val="008E70F5"/>
    <w:rsid w:val="008F52A8"/>
    <w:rsid w:val="00904F32"/>
    <w:rsid w:val="00905B4B"/>
    <w:rsid w:val="00906649"/>
    <w:rsid w:val="00907C80"/>
    <w:rsid w:val="009117BB"/>
    <w:rsid w:val="0091453A"/>
    <w:rsid w:val="00917781"/>
    <w:rsid w:val="00920353"/>
    <w:rsid w:val="00921A05"/>
    <w:rsid w:val="0092262D"/>
    <w:rsid w:val="00922711"/>
    <w:rsid w:val="0092691B"/>
    <w:rsid w:val="00927DE7"/>
    <w:rsid w:val="009320F6"/>
    <w:rsid w:val="009340CB"/>
    <w:rsid w:val="00934768"/>
    <w:rsid w:val="00935927"/>
    <w:rsid w:val="00935986"/>
    <w:rsid w:val="0094407E"/>
    <w:rsid w:val="009466E4"/>
    <w:rsid w:val="00953827"/>
    <w:rsid w:val="00954A96"/>
    <w:rsid w:val="009675F0"/>
    <w:rsid w:val="00967F32"/>
    <w:rsid w:val="00971D23"/>
    <w:rsid w:val="009738D3"/>
    <w:rsid w:val="00973BB7"/>
    <w:rsid w:val="00983DAC"/>
    <w:rsid w:val="0098535E"/>
    <w:rsid w:val="00990B2B"/>
    <w:rsid w:val="00991A05"/>
    <w:rsid w:val="00991AA6"/>
    <w:rsid w:val="00991FE0"/>
    <w:rsid w:val="00994EC2"/>
    <w:rsid w:val="00996556"/>
    <w:rsid w:val="009A0EED"/>
    <w:rsid w:val="009A401D"/>
    <w:rsid w:val="009A76B2"/>
    <w:rsid w:val="009A7A45"/>
    <w:rsid w:val="009B665E"/>
    <w:rsid w:val="009B74F8"/>
    <w:rsid w:val="009B7B00"/>
    <w:rsid w:val="009B7D83"/>
    <w:rsid w:val="009C1933"/>
    <w:rsid w:val="009D0E56"/>
    <w:rsid w:val="009D1FA4"/>
    <w:rsid w:val="009D4FD2"/>
    <w:rsid w:val="009E0D15"/>
    <w:rsid w:val="009E32AD"/>
    <w:rsid w:val="009E3E55"/>
    <w:rsid w:val="009E556A"/>
    <w:rsid w:val="009E6CC1"/>
    <w:rsid w:val="009F1CB1"/>
    <w:rsid w:val="009F4D53"/>
    <w:rsid w:val="009F4F7D"/>
    <w:rsid w:val="009F6511"/>
    <w:rsid w:val="009F6558"/>
    <w:rsid w:val="00A041EC"/>
    <w:rsid w:val="00A07572"/>
    <w:rsid w:val="00A15498"/>
    <w:rsid w:val="00A16E1B"/>
    <w:rsid w:val="00A173EE"/>
    <w:rsid w:val="00A3031C"/>
    <w:rsid w:val="00A30E33"/>
    <w:rsid w:val="00A329CA"/>
    <w:rsid w:val="00A331C3"/>
    <w:rsid w:val="00A3408C"/>
    <w:rsid w:val="00A3640B"/>
    <w:rsid w:val="00A364F5"/>
    <w:rsid w:val="00A3784A"/>
    <w:rsid w:val="00A40612"/>
    <w:rsid w:val="00A4221A"/>
    <w:rsid w:val="00A4287F"/>
    <w:rsid w:val="00A4637B"/>
    <w:rsid w:val="00A51634"/>
    <w:rsid w:val="00A61E1B"/>
    <w:rsid w:val="00A652A9"/>
    <w:rsid w:val="00A6696B"/>
    <w:rsid w:val="00A75DD9"/>
    <w:rsid w:val="00A80C51"/>
    <w:rsid w:val="00A815D6"/>
    <w:rsid w:val="00A83EF6"/>
    <w:rsid w:val="00A843F1"/>
    <w:rsid w:val="00A866D6"/>
    <w:rsid w:val="00A95400"/>
    <w:rsid w:val="00A95C68"/>
    <w:rsid w:val="00A966FD"/>
    <w:rsid w:val="00A97D1C"/>
    <w:rsid w:val="00AA1BB8"/>
    <w:rsid w:val="00AA38B4"/>
    <w:rsid w:val="00AA492B"/>
    <w:rsid w:val="00AA758E"/>
    <w:rsid w:val="00AA7F64"/>
    <w:rsid w:val="00AB0CFB"/>
    <w:rsid w:val="00AB1225"/>
    <w:rsid w:val="00AB4159"/>
    <w:rsid w:val="00AB5325"/>
    <w:rsid w:val="00AB5F40"/>
    <w:rsid w:val="00AB6624"/>
    <w:rsid w:val="00AC23AD"/>
    <w:rsid w:val="00AC2C00"/>
    <w:rsid w:val="00AC2C9B"/>
    <w:rsid w:val="00AC440B"/>
    <w:rsid w:val="00AC681E"/>
    <w:rsid w:val="00AC7E47"/>
    <w:rsid w:val="00AD2BE3"/>
    <w:rsid w:val="00AD2E00"/>
    <w:rsid w:val="00AD60B9"/>
    <w:rsid w:val="00AE1822"/>
    <w:rsid w:val="00AE5499"/>
    <w:rsid w:val="00AF2402"/>
    <w:rsid w:val="00AF5B01"/>
    <w:rsid w:val="00AF5E85"/>
    <w:rsid w:val="00AF615B"/>
    <w:rsid w:val="00AF6724"/>
    <w:rsid w:val="00B0102F"/>
    <w:rsid w:val="00B01DAF"/>
    <w:rsid w:val="00B0221D"/>
    <w:rsid w:val="00B02FC9"/>
    <w:rsid w:val="00B05A31"/>
    <w:rsid w:val="00B06458"/>
    <w:rsid w:val="00B13758"/>
    <w:rsid w:val="00B21580"/>
    <w:rsid w:val="00B27972"/>
    <w:rsid w:val="00B31070"/>
    <w:rsid w:val="00B31ECC"/>
    <w:rsid w:val="00B32399"/>
    <w:rsid w:val="00B35B80"/>
    <w:rsid w:val="00B3666C"/>
    <w:rsid w:val="00B4035E"/>
    <w:rsid w:val="00B40DE7"/>
    <w:rsid w:val="00B42346"/>
    <w:rsid w:val="00B436BA"/>
    <w:rsid w:val="00B45160"/>
    <w:rsid w:val="00B4580B"/>
    <w:rsid w:val="00B514B9"/>
    <w:rsid w:val="00B53ABC"/>
    <w:rsid w:val="00B55365"/>
    <w:rsid w:val="00B5562B"/>
    <w:rsid w:val="00B61E2C"/>
    <w:rsid w:val="00B72063"/>
    <w:rsid w:val="00B75573"/>
    <w:rsid w:val="00B84333"/>
    <w:rsid w:val="00B8554F"/>
    <w:rsid w:val="00B954A1"/>
    <w:rsid w:val="00B970C7"/>
    <w:rsid w:val="00BA21E1"/>
    <w:rsid w:val="00BB561F"/>
    <w:rsid w:val="00BC0348"/>
    <w:rsid w:val="00BC4153"/>
    <w:rsid w:val="00BC4D66"/>
    <w:rsid w:val="00BC56FD"/>
    <w:rsid w:val="00BD3B07"/>
    <w:rsid w:val="00BD450B"/>
    <w:rsid w:val="00BD55A3"/>
    <w:rsid w:val="00BF4FC8"/>
    <w:rsid w:val="00BF511E"/>
    <w:rsid w:val="00C04CA7"/>
    <w:rsid w:val="00C15315"/>
    <w:rsid w:val="00C201E9"/>
    <w:rsid w:val="00C2705A"/>
    <w:rsid w:val="00C30133"/>
    <w:rsid w:val="00C32002"/>
    <w:rsid w:val="00C37CEF"/>
    <w:rsid w:val="00C4112E"/>
    <w:rsid w:val="00C4297D"/>
    <w:rsid w:val="00C43986"/>
    <w:rsid w:val="00C45FEF"/>
    <w:rsid w:val="00C463B1"/>
    <w:rsid w:val="00C47A6B"/>
    <w:rsid w:val="00C54E45"/>
    <w:rsid w:val="00C64AB6"/>
    <w:rsid w:val="00C710CA"/>
    <w:rsid w:val="00C7298F"/>
    <w:rsid w:val="00C74FCD"/>
    <w:rsid w:val="00C7674D"/>
    <w:rsid w:val="00C832B3"/>
    <w:rsid w:val="00C850D0"/>
    <w:rsid w:val="00C93D60"/>
    <w:rsid w:val="00C95992"/>
    <w:rsid w:val="00C966EF"/>
    <w:rsid w:val="00CA1308"/>
    <w:rsid w:val="00CA1D36"/>
    <w:rsid w:val="00CA4CB3"/>
    <w:rsid w:val="00CB3A7B"/>
    <w:rsid w:val="00CB5DD8"/>
    <w:rsid w:val="00CB7E84"/>
    <w:rsid w:val="00CC2572"/>
    <w:rsid w:val="00CC39E9"/>
    <w:rsid w:val="00CD0E34"/>
    <w:rsid w:val="00CD1015"/>
    <w:rsid w:val="00CD1ACA"/>
    <w:rsid w:val="00CD28B6"/>
    <w:rsid w:val="00CD4241"/>
    <w:rsid w:val="00CD5649"/>
    <w:rsid w:val="00CE0837"/>
    <w:rsid w:val="00CE15A0"/>
    <w:rsid w:val="00CE46E6"/>
    <w:rsid w:val="00CE4E2D"/>
    <w:rsid w:val="00CE63F1"/>
    <w:rsid w:val="00CF2941"/>
    <w:rsid w:val="00CF47B6"/>
    <w:rsid w:val="00CF489B"/>
    <w:rsid w:val="00CF598D"/>
    <w:rsid w:val="00D02A00"/>
    <w:rsid w:val="00D03470"/>
    <w:rsid w:val="00D036B2"/>
    <w:rsid w:val="00D0476A"/>
    <w:rsid w:val="00D05A07"/>
    <w:rsid w:val="00D05A41"/>
    <w:rsid w:val="00D07406"/>
    <w:rsid w:val="00D11404"/>
    <w:rsid w:val="00D13AD1"/>
    <w:rsid w:val="00D20D97"/>
    <w:rsid w:val="00D2444C"/>
    <w:rsid w:val="00D27D24"/>
    <w:rsid w:val="00D339F0"/>
    <w:rsid w:val="00D3728C"/>
    <w:rsid w:val="00D40090"/>
    <w:rsid w:val="00D42691"/>
    <w:rsid w:val="00D47A90"/>
    <w:rsid w:val="00D50CAB"/>
    <w:rsid w:val="00D51D40"/>
    <w:rsid w:val="00D526AC"/>
    <w:rsid w:val="00D56CDE"/>
    <w:rsid w:val="00D57985"/>
    <w:rsid w:val="00D639FD"/>
    <w:rsid w:val="00D6662B"/>
    <w:rsid w:val="00D7172A"/>
    <w:rsid w:val="00D74652"/>
    <w:rsid w:val="00D747D4"/>
    <w:rsid w:val="00D76E50"/>
    <w:rsid w:val="00D83A68"/>
    <w:rsid w:val="00D843D8"/>
    <w:rsid w:val="00D94915"/>
    <w:rsid w:val="00D94978"/>
    <w:rsid w:val="00D9570B"/>
    <w:rsid w:val="00D95D4D"/>
    <w:rsid w:val="00D95D84"/>
    <w:rsid w:val="00DA0E92"/>
    <w:rsid w:val="00DA283B"/>
    <w:rsid w:val="00DA50E8"/>
    <w:rsid w:val="00DB0291"/>
    <w:rsid w:val="00DB1334"/>
    <w:rsid w:val="00DB2291"/>
    <w:rsid w:val="00DC3D1E"/>
    <w:rsid w:val="00DD0296"/>
    <w:rsid w:val="00DD0CA6"/>
    <w:rsid w:val="00DD1F01"/>
    <w:rsid w:val="00DD737B"/>
    <w:rsid w:val="00DD7811"/>
    <w:rsid w:val="00DE16C9"/>
    <w:rsid w:val="00DE1BB2"/>
    <w:rsid w:val="00DE1EEB"/>
    <w:rsid w:val="00DE39C3"/>
    <w:rsid w:val="00DE4F59"/>
    <w:rsid w:val="00DF0D23"/>
    <w:rsid w:val="00DF1987"/>
    <w:rsid w:val="00DF4718"/>
    <w:rsid w:val="00E0153A"/>
    <w:rsid w:val="00E20783"/>
    <w:rsid w:val="00E22617"/>
    <w:rsid w:val="00E22B2D"/>
    <w:rsid w:val="00E240F5"/>
    <w:rsid w:val="00E27993"/>
    <w:rsid w:val="00E31770"/>
    <w:rsid w:val="00E40156"/>
    <w:rsid w:val="00E42F5C"/>
    <w:rsid w:val="00E43F9A"/>
    <w:rsid w:val="00E50863"/>
    <w:rsid w:val="00E50C6E"/>
    <w:rsid w:val="00E50D2A"/>
    <w:rsid w:val="00E55656"/>
    <w:rsid w:val="00E604D6"/>
    <w:rsid w:val="00E63787"/>
    <w:rsid w:val="00E661BC"/>
    <w:rsid w:val="00E673A5"/>
    <w:rsid w:val="00E678FD"/>
    <w:rsid w:val="00E710AD"/>
    <w:rsid w:val="00E7705D"/>
    <w:rsid w:val="00E8137E"/>
    <w:rsid w:val="00E83956"/>
    <w:rsid w:val="00E858B2"/>
    <w:rsid w:val="00E86215"/>
    <w:rsid w:val="00E901B1"/>
    <w:rsid w:val="00E93FBE"/>
    <w:rsid w:val="00E96CD3"/>
    <w:rsid w:val="00EA0366"/>
    <w:rsid w:val="00EA09C6"/>
    <w:rsid w:val="00EA11D3"/>
    <w:rsid w:val="00EA47F6"/>
    <w:rsid w:val="00EA6D3D"/>
    <w:rsid w:val="00EB05A4"/>
    <w:rsid w:val="00EB4AA8"/>
    <w:rsid w:val="00ED1C8C"/>
    <w:rsid w:val="00ED23AA"/>
    <w:rsid w:val="00ED54F0"/>
    <w:rsid w:val="00ED577D"/>
    <w:rsid w:val="00EE400B"/>
    <w:rsid w:val="00EE59E4"/>
    <w:rsid w:val="00EF0A9D"/>
    <w:rsid w:val="00EF188B"/>
    <w:rsid w:val="00EF555E"/>
    <w:rsid w:val="00EF6C8E"/>
    <w:rsid w:val="00EF74E4"/>
    <w:rsid w:val="00F00199"/>
    <w:rsid w:val="00F01AD6"/>
    <w:rsid w:val="00F023CC"/>
    <w:rsid w:val="00F14138"/>
    <w:rsid w:val="00F14741"/>
    <w:rsid w:val="00F2325C"/>
    <w:rsid w:val="00F334CE"/>
    <w:rsid w:val="00F347B2"/>
    <w:rsid w:val="00F461D1"/>
    <w:rsid w:val="00F46CF6"/>
    <w:rsid w:val="00F53066"/>
    <w:rsid w:val="00F54A98"/>
    <w:rsid w:val="00F54AA4"/>
    <w:rsid w:val="00F5661A"/>
    <w:rsid w:val="00F60FB3"/>
    <w:rsid w:val="00F6139F"/>
    <w:rsid w:val="00F64BD0"/>
    <w:rsid w:val="00F65A31"/>
    <w:rsid w:val="00F66C32"/>
    <w:rsid w:val="00F70F82"/>
    <w:rsid w:val="00F746BB"/>
    <w:rsid w:val="00F7790C"/>
    <w:rsid w:val="00F80568"/>
    <w:rsid w:val="00F80E84"/>
    <w:rsid w:val="00F811A7"/>
    <w:rsid w:val="00F918EA"/>
    <w:rsid w:val="00F9246A"/>
    <w:rsid w:val="00F946E9"/>
    <w:rsid w:val="00F96298"/>
    <w:rsid w:val="00F96683"/>
    <w:rsid w:val="00FA0AEF"/>
    <w:rsid w:val="00FA3929"/>
    <w:rsid w:val="00FA4355"/>
    <w:rsid w:val="00FA715E"/>
    <w:rsid w:val="00FA71C0"/>
    <w:rsid w:val="00FB0D9A"/>
    <w:rsid w:val="00FB1B5E"/>
    <w:rsid w:val="00FB2B12"/>
    <w:rsid w:val="00FB5065"/>
    <w:rsid w:val="00FB5721"/>
    <w:rsid w:val="00FB5A56"/>
    <w:rsid w:val="00FC117D"/>
    <w:rsid w:val="00FC2904"/>
    <w:rsid w:val="00FC35D4"/>
    <w:rsid w:val="00FC4553"/>
    <w:rsid w:val="00FD263D"/>
    <w:rsid w:val="00FD52CE"/>
    <w:rsid w:val="00FE2AB3"/>
    <w:rsid w:val="00FE786F"/>
    <w:rsid w:val="00FF157E"/>
    <w:rsid w:val="00FF645B"/>
    <w:rsid w:val="00FF69F4"/>
    <w:rsid w:val="00FF6FC2"/>
    <w:rsid w:val="046CA63D"/>
    <w:rsid w:val="0516241A"/>
    <w:rsid w:val="105C9920"/>
    <w:rsid w:val="1519182F"/>
    <w:rsid w:val="15AF22D4"/>
    <w:rsid w:val="1622D2E6"/>
    <w:rsid w:val="1D2E59A8"/>
    <w:rsid w:val="1E354E74"/>
    <w:rsid w:val="1E3A4D99"/>
    <w:rsid w:val="23092E83"/>
    <w:rsid w:val="28E9DCE7"/>
    <w:rsid w:val="2DBCD47D"/>
    <w:rsid w:val="35E092A3"/>
    <w:rsid w:val="36455B5D"/>
    <w:rsid w:val="3AE7A3CA"/>
    <w:rsid w:val="3F32D4ED"/>
    <w:rsid w:val="3FF93317"/>
    <w:rsid w:val="403993A5"/>
    <w:rsid w:val="45211DA3"/>
    <w:rsid w:val="457F2249"/>
    <w:rsid w:val="4A65D3D4"/>
    <w:rsid w:val="4D0BC987"/>
    <w:rsid w:val="5162CA80"/>
    <w:rsid w:val="556B0B76"/>
    <w:rsid w:val="56DAD40E"/>
    <w:rsid w:val="59237917"/>
    <w:rsid w:val="605CFD0D"/>
    <w:rsid w:val="6B3DB1FD"/>
    <w:rsid w:val="7B275332"/>
  </w:rsids>
  <m:mathPr>
    <m:mathFont m:val="Cambria Math"/>
    <m:brkBin m:val="before"/>
    <m:brkBinSub m:val="--"/>
    <m:smallFrac m:val="0"/>
    <m:dispDef m:val="0"/>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DA535"/>
  <w15:docId w15:val="{165B9789-AF99-4855-B615-28CB7D6B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835"/>
    </w:pPr>
    <w:rPr>
      <w:rFonts w:ascii="Arial" w:hAnsi="Arial"/>
      <w:spacing w:val="-5"/>
    </w:rPr>
  </w:style>
  <w:style w:type="paragraph" w:styleId="berschrift1">
    <w:name w:val="heading 1"/>
    <w:basedOn w:val="Standard"/>
    <w:next w:val="Standard"/>
    <w:qFormat/>
    <w:pPr>
      <w:keepNext/>
      <w:keepLines/>
      <w:spacing w:after="220" w:line="200" w:lineRule="atLeast"/>
      <w:outlineLvl w:val="0"/>
    </w:pPr>
    <w:rPr>
      <w:rFonts w:ascii="Arial Black" w:hAnsi="Arial Black"/>
      <w:spacing w:val="-10"/>
      <w:kern w:val="28"/>
      <w:sz w:val="22"/>
    </w:rPr>
  </w:style>
  <w:style w:type="paragraph" w:styleId="berschrift2">
    <w:name w:val="heading 2"/>
    <w:basedOn w:val="Standard"/>
    <w:next w:val="Standard"/>
    <w:qFormat/>
    <w:pPr>
      <w:keepNext/>
      <w:keepLines/>
      <w:spacing w:line="200" w:lineRule="atLeast"/>
      <w:outlineLvl w:val="1"/>
    </w:pPr>
    <w:rPr>
      <w:rFonts w:ascii="Arial Black" w:hAnsi="Arial Black"/>
      <w:spacing w:val="-10"/>
      <w:kern w:val="28"/>
    </w:rPr>
  </w:style>
  <w:style w:type="paragraph" w:styleId="berschrift3">
    <w:name w:val="heading 3"/>
    <w:basedOn w:val="Standard"/>
    <w:next w:val="Standard"/>
    <w:qFormat/>
    <w:pPr>
      <w:keepNext/>
      <w:keepLines/>
      <w:spacing w:line="180" w:lineRule="atLeast"/>
      <w:ind w:left="1195"/>
      <w:outlineLvl w:val="2"/>
    </w:pPr>
    <w:rPr>
      <w:rFonts w:ascii="Arial Black" w:hAnsi="Arial Black"/>
      <w:kern w:val="28"/>
    </w:rPr>
  </w:style>
  <w:style w:type="paragraph" w:styleId="berschrift4">
    <w:name w:val="heading 4"/>
    <w:basedOn w:val="Standard"/>
    <w:next w:val="Standard"/>
    <w:qFormat/>
    <w:pPr>
      <w:keepNext/>
      <w:keepLines/>
      <w:spacing w:line="180" w:lineRule="atLeast"/>
      <w:ind w:left="1555"/>
      <w:outlineLvl w:val="3"/>
    </w:pPr>
    <w:rPr>
      <w:rFonts w:ascii="Arial Black" w:hAnsi="Arial Black"/>
      <w:spacing w:val="-2"/>
      <w:kern w:val="28"/>
      <w:sz w:val="18"/>
    </w:rPr>
  </w:style>
  <w:style w:type="paragraph" w:styleId="berschrift5">
    <w:name w:val="heading 5"/>
    <w:basedOn w:val="Standard"/>
    <w:next w:val="Standard"/>
    <w:qFormat/>
    <w:pPr>
      <w:keepNext/>
      <w:keepLines/>
      <w:spacing w:line="180" w:lineRule="atLeast"/>
      <w:ind w:left="1915"/>
      <w:outlineLvl w:val="4"/>
    </w:pPr>
    <w:rPr>
      <w:rFonts w:ascii="Arial Black" w:hAnsi="Arial Black"/>
      <w:spacing w:val="-2"/>
      <w:kern w:val="28"/>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1555"/>
    </w:pPr>
  </w:style>
  <w:style w:type="paragraph" w:customStyle="1" w:styleId="06Disclosure">
    <w:name w:val="06 Disclosure"/>
    <w:basedOn w:val="Fuzeile"/>
    <w:qFormat/>
    <w:rsid w:val="006769F6"/>
    <w:pPr>
      <w:spacing w:line="190" w:lineRule="exact"/>
      <w:ind w:left="0" w:right="1339"/>
      <w:jc w:val="both"/>
    </w:pPr>
    <w:rPr>
      <w:rFonts w:ascii="Arial Narrow" w:hAnsi="Arial Narrow"/>
      <w:sz w:val="16"/>
    </w:rPr>
  </w:style>
  <w:style w:type="paragraph" w:styleId="Kopfzeile">
    <w:name w:val="header"/>
    <w:basedOn w:val="Standard"/>
    <w:link w:val="KopfzeileZchn"/>
    <w:uiPriority w:val="99"/>
    <w:unhideWhenUsed/>
    <w:rsid w:val="000C1D09"/>
    <w:pPr>
      <w:tabs>
        <w:tab w:val="center" w:pos="4320"/>
        <w:tab w:val="right" w:pos="8640"/>
      </w:tabs>
    </w:pPr>
  </w:style>
  <w:style w:type="character" w:customStyle="1" w:styleId="KopfzeileZchn">
    <w:name w:val="Kopfzeile Zchn"/>
    <w:link w:val="Kopfzeile"/>
    <w:uiPriority w:val="99"/>
    <w:rsid w:val="000C1D09"/>
    <w:rPr>
      <w:rFonts w:ascii="Arial" w:hAnsi="Arial"/>
      <w:spacing w:val="-5"/>
    </w:rPr>
  </w:style>
  <w:style w:type="character" w:customStyle="1" w:styleId="Slogan">
    <w:name w:val="Slogan"/>
    <w:rPr>
      <w:rFonts w:ascii="Arial Black" w:hAnsi="Arial Black" w:hint="default"/>
      <w:color w:val="FFFFFF"/>
      <w:spacing w:val="-10"/>
      <w:position w:val="0"/>
      <w:sz w:val="19"/>
      <w:bdr w:val="none" w:sz="0" w:space="0" w:color="auto" w:frame="1"/>
      <w:shd w:val="solid" w:color="auto" w:fill="auto"/>
    </w:rPr>
  </w:style>
  <w:style w:type="table" w:styleId="Tabellenraster">
    <w:name w:val="Table Grid"/>
    <w:basedOn w:val="NormaleTabelle"/>
    <w:rsid w:val="007467F9"/>
    <w:pPr>
      <w:ind w:lef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semiHidden/>
    <w:unhideWhenUsed/>
    <w:rsid w:val="002446F4"/>
    <w:pPr>
      <w:tabs>
        <w:tab w:val="center" w:pos="4320"/>
        <w:tab w:val="right" w:pos="8640"/>
      </w:tabs>
    </w:pPr>
  </w:style>
  <w:style w:type="character" w:customStyle="1" w:styleId="05telfaxemailbold">
    <w:name w:val="05 tel/fax/email bold"/>
    <w:rsid w:val="00C25C1D"/>
    <w:rPr>
      <w:rFonts w:ascii="Arial Narrow" w:hAnsi="Arial Narrow"/>
      <w:b/>
      <w:spacing w:val="0"/>
      <w:w w:val="100"/>
      <w:sz w:val="16"/>
    </w:rPr>
  </w:style>
  <w:style w:type="character" w:customStyle="1" w:styleId="FuzeileZchn">
    <w:name w:val="Fußzeile Zchn"/>
    <w:link w:val="Fuzeile"/>
    <w:uiPriority w:val="99"/>
    <w:semiHidden/>
    <w:rsid w:val="002446F4"/>
    <w:rPr>
      <w:rFonts w:ascii="Arial" w:hAnsi="Arial"/>
      <w:spacing w:val="-5"/>
    </w:rPr>
  </w:style>
  <w:style w:type="paragraph" w:customStyle="1" w:styleId="03Subsidiary">
    <w:name w:val="03 Subsidiary"/>
    <w:basedOn w:val="Standard"/>
    <w:qFormat/>
    <w:rsid w:val="00F47EDB"/>
    <w:pPr>
      <w:framePr w:hSpace="187" w:wrap="around" w:vAnchor="text" w:hAnchor="page" w:x="7971" w:y="301"/>
      <w:spacing w:line="200" w:lineRule="exact"/>
      <w:ind w:left="0"/>
    </w:pPr>
    <w:rPr>
      <w:rFonts w:ascii="Arial Narrow" w:eastAsia="Cambria" w:hAnsi="Arial Narrow"/>
      <w:b/>
      <w:color w:val="004FA6"/>
      <w:spacing w:val="0"/>
      <w:sz w:val="16"/>
      <w:szCs w:val="24"/>
    </w:rPr>
  </w:style>
  <w:style w:type="paragraph" w:customStyle="1" w:styleId="04Address">
    <w:name w:val="04 Address"/>
    <w:basedOn w:val="Standard"/>
    <w:qFormat/>
    <w:rsid w:val="00A74701"/>
    <w:pPr>
      <w:framePr w:hSpace="187" w:wrap="around" w:vAnchor="text" w:hAnchor="page" w:x="7971" w:y="301"/>
      <w:spacing w:after="30" w:line="200" w:lineRule="exact"/>
      <w:ind w:left="0"/>
    </w:pPr>
    <w:rPr>
      <w:rFonts w:ascii="Arial Narrow" w:eastAsia="Cambria" w:hAnsi="Arial Narrow"/>
      <w:spacing w:val="0"/>
      <w:sz w:val="16"/>
      <w:szCs w:val="24"/>
    </w:rPr>
  </w:style>
  <w:style w:type="paragraph" w:customStyle="1" w:styleId="05telfaxemailurl">
    <w:name w:val="05 tel/fax/email/url"/>
    <w:basedOn w:val="Standard"/>
    <w:qFormat/>
    <w:rsid w:val="00786708"/>
    <w:pPr>
      <w:framePr w:hSpace="187" w:wrap="around" w:vAnchor="text" w:hAnchor="page" w:x="7971" w:y="301"/>
      <w:spacing w:line="200" w:lineRule="exact"/>
      <w:ind w:left="0"/>
    </w:pPr>
    <w:rPr>
      <w:rFonts w:ascii="Arial Narrow" w:eastAsia="Cambria" w:hAnsi="Arial Narrow"/>
      <w:spacing w:val="6"/>
      <w:sz w:val="16"/>
      <w:szCs w:val="24"/>
    </w:rPr>
  </w:style>
  <w:style w:type="character" w:styleId="Hyperlink">
    <w:name w:val="Hyperlink"/>
    <w:basedOn w:val="Absatz-Standardschriftart"/>
    <w:uiPriority w:val="99"/>
    <w:unhideWhenUsed/>
    <w:rsid w:val="00A16E1B"/>
    <w:rPr>
      <w:color w:val="467886"/>
      <w:u w:val="single"/>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rPr>
      <w:rFonts w:ascii="Arial" w:hAnsi="Arial"/>
      <w:spacing w:val="-5"/>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71"/>
    <w:rsid w:val="00922711"/>
    <w:rPr>
      <w:rFonts w:ascii="Arial" w:hAnsi="Arial"/>
      <w:spacing w:val="-5"/>
    </w:rPr>
  </w:style>
  <w:style w:type="paragraph" w:styleId="StandardWeb">
    <w:name w:val="Normal (Web)"/>
    <w:basedOn w:val="Standard"/>
    <w:uiPriority w:val="99"/>
    <w:semiHidden/>
    <w:unhideWhenUsed/>
    <w:rsid w:val="00585EC3"/>
    <w:rPr>
      <w:rFonts w:ascii="Times New Roman" w:hAnsi="Times New Roman"/>
      <w:sz w:val="24"/>
      <w:szCs w:val="24"/>
    </w:rPr>
  </w:style>
  <w:style w:type="paragraph" w:styleId="KeinLeerraum">
    <w:name w:val="No Spacing"/>
    <w:uiPriority w:val="1"/>
    <w:qFormat/>
    <w:rsid w:val="00777572"/>
    <w:rPr>
      <w:rFonts w:asciiTheme="minorHAnsi" w:eastAsiaTheme="minorHAnsi" w:hAnsiTheme="minorHAnsi" w:cstheme="minorBidi"/>
      <w:kern w:val="2"/>
      <w:sz w:val="24"/>
      <w:szCs w:val="24"/>
      <w14:ligatures w14:val="standardContextual"/>
    </w:rPr>
  </w:style>
  <w:style w:type="paragraph" w:styleId="Kommentarthema">
    <w:name w:val="annotation subject"/>
    <w:basedOn w:val="Kommentartext"/>
    <w:next w:val="Kommentartext"/>
    <w:link w:val="KommentarthemaZchn"/>
    <w:uiPriority w:val="99"/>
    <w:semiHidden/>
    <w:unhideWhenUsed/>
    <w:rsid w:val="00CE4E2D"/>
    <w:rPr>
      <w:b/>
      <w:bCs/>
    </w:rPr>
  </w:style>
  <w:style w:type="character" w:customStyle="1" w:styleId="KommentarthemaZchn">
    <w:name w:val="Kommentarthema Zchn"/>
    <w:basedOn w:val="KommentartextZchn"/>
    <w:link w:val="Kommentarthema"/>
    <w:uiPriority w:val="99"/>
    <w:semiHidden/>
    <w:rsid w:val="00CE4E2D"/>
    <w:rPr>
      <w:rFonts w:ascii="Arial" w:hAnsi="Arial"/>
      <w:b/>
      <w:bCs/>
      <w:spacing w:val="-5"/>
    </w:rPr>
  </w:style>
  <w:style w:type="character" w:styleId="NichtaufgelsteErwhnung">
    <w:name w:val="Unresolved Mention"/>
    <w:basedOn w:val="Absatz-Standardschriftart"/>
    <w:uiPriority w:val="99"/>
    <w:semiHidden/>
    <w:unhideWhenUsed/>
    <w:rsid w:val="00F918EA"/>
    <w:rPr>
      <w:color w:val="605E5C"/>
      <w:shd w:val="clear" w:color="auto" w:fill="E1DFDD"/>
    </w:rPr>
  </w:style>
  <w:style w:type="paragraph" w:customStyle="1" w:styleId="BodyA">
    <w:name w:val="Body A"/>
    <w:rsid w:val="00544C7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n-GB"/>
    </w:rPr>
  </w:style>
  <w:style w:type="character" w:customStyle="1" w:styleId="None">
    <w:name w:val="None"/>
    <w:rsid w:val="00544C78"/>
  </w:style>
  <w:style w:type="character" w:styleId="BesuchterLink">
    <w:name w:val="FollowedHyperlink"/>
    <w:basedOn w:val="Absatz-Standardschriftart"/>
    <w:uiPriority w:val="99"/>
    <w:semiHidden/>
    <w:unhideWhenUsed/>
    <w:rsid w:val="0082086C"/>
    <w:rPr>
      <w:color w:val="212121" w:themeColor="followedHyperlink"/>
      <w:u w:val="single"/>
    </w:rPr>
  </w:style>
  <w:style w:type="paragraph" w:styleId="Listenabsatz">
    <w:name w:val="List Paragraph"/>
    <w:aliases w:val="Paragraphe EI,Paragraphe de liste1,EC,Normal bullet 2,Bullet list,List Paragraph1,Numbered List,1st level - Bullet List Paragraph,Lettre d'introduction,Paragrafo elenco,Medium Grid 1 - Accent 21,List Paragraph11,Paragraphe de liste,Dot pt"/>
    <w:basedOn w:val="Standard"/>
    <w:link w:val="ListenabsatzZchn"/>
    <w:uiPriority w:val="34"/>
    <w:qFormat/>
    <w:rsid w:val="00953827"/>
    <w:pPr>
      <w:ind w:left="720"/>
      <w:contextualSpacing/>
    </w:pPr>
  </w:style>
  <w:style w:type="character" w:customStyle="1" w:styleId="ListenabsatzZchn">
    <w:name w:val="Listenabsatz Zchn"/>
    <w:aliases w:val="Paragraphe EI Zchn,Paragraphe de liste1 Zchn,EC Zchn,Normal bullet 2 Zchn,Bullet list Zchn,List Paragraph1 Zchn,Numbered List Zchn,1st level - Bullet List Paragraph Zchn,Lettre d'introduction Zchn,Paragrafo elenco Zchn,Dot pt Zchn"/>
    <w:basedOn w:val="Absatz-Standardschriftart"/>
    <w:link w:val="Listenabsatz"/>
    <w:uiPriority w:val="34"/>
    <w:qFormat/>
    <w:rsid w:val="00953827"/>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VI_colors">
  <a:themeElements>
    <a:clrScheme name="FT Color Palette">
      <a:dk1>
        <a:srgbClr val="000000"/>
      </a:dk1>
      <a:lt1>
        <a:srgbClr val="FFFFFF"/>
      </a:lt1>
      <a:dk2>
        <a:srgbClr val="E1F7F7"/>
      </a:dk2>
      <a:lt2>
        <a:srgbClr val="FFFFFF"/>
      </a:lt2>
      <a:accent1>
        <a:srgbClr val="3769FF"/>
      </a:accent1>
      <a:accent2>
        <a:srgbClr val="00BFB3"/>
      </a:accent2>
      <a:accent3>
        <a:srgbClr val="FF6035"/>
      </a:accent3>
      <a:accent4>
        <a:srgbClr val="6730E3"/>
      </a:accent4>
      <a:accent5>
        <a:srgbClr val="BFBFBF"/>
      </a:accent5>
      <a:accent6>
        <a:srgbClr val="C042EA"/>
      </a:accent6>
      <a:hlink>
        <a:srgbClr val="3769FF"/>
      </a:hlink>
      <a:folHlink>
        <a:srgbClr val="21212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769FF"/>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sz="4800" dirty="0" smtClean="0">
            <a:solidFill>
              <a:schemeClr val="accent2"/>
            </a:solidFill>
          </a:defRPr>
        </a:defPPr>
      </a:lstStyle>
    </a:txDef>
  </a:objectDefaults>
  <a:extraClrSchemeLst/>
  <a:custClrLst>
    <a:custClr name="FT SKY BLUE">
      <a:srgbClr val="3769FF"/>
    </a:custClr>
    <a:custClr name="FT TEAL">
      <a:srgbClr val="00BFB3"/>
    </a:custClr>
    <a:custClr name="FT ORANGE3">
      <a:srgbClr val="FF6035"/>
    </a:custClr>
    <a:custClr name="FT PURPLE">
      <a:srgbClr val="6730E3"/>
    </a:custClr>
    <a:custClr name="FT GRAY2">
      <a:srgbClr val="BFBFBF"/>
    </a:custClr>
    <a:custClr name="FT FUCHSIA">
      <a:srgbClr val="C042EA"/>
    </a:custClr>
    <a:custClr name="BLANK">
      <a:srgbClr val="FFFFFF"/>
    </a:custClr>
    <a:custClr name="BLANK">
      <a:srgbClr val="FFFFFF"/>
    </a:custClr>
    <a:custClr name="BLANK">
      <a:srgbClr val="FFFFFF"/>
    </a:custClr>
    <a:custClr name="BLANK">
      <a:srgbClr val="FFFFFF"/>
    </a:custClr>
    <a:custClr name="FT SKY BLUE">
      <a:srgbClr val="3769FF"/>
    </a:custClr>
    <a:custClr name="FT TEAL2">
      <a:srgbClr val="72DBD5"/>
    </a:custClr>
    <a:custClr name="FT SKY BLUE2">
      <a:srgbClr val="91B9FF"/>
    </a:custClr>
    <a:custClr name="BENCHMARK GRAY">
      <a:srgbClr val="D9D9D9"/>
    </a:custClr>
    <a:custClr name="FT GRAY2">
      <a:srgbClr val="BFBFBF"/>
    </a:custClr>
    <a:custClr name="FT GRAY3">
      <a:srgbClr val="8C8C8C"/>
    </a:custClr>
    <a:custClr name="BLANK">
      <a:srgbClr val="FFFFFF"/>
    </a:custClr>
    <a:custClr name="BLANK">
      <a:srgbClr val="FFFFFF"/>
    </a:custClr>
    <a:custClr name="BLANK">
      <a:srgbClr val="FFFFFF"/>
    </a:custClr>
    <a:custClr name="BLANK">
      <a:srgbClr val="FFFFFF"/>
    </a:custClr>
    <a:custClr name="FT SKY BLUE">
      <a:srgbClr val="3769FF"/>
    </a:custClr>
    <a:custClr name="FT PURPLE">
      <a:srgbClr val="6730E3"/>
    </a:custClr>
    <a:custClr name="FT TEAL3">
      <a:srgbClr val="00A096"/>
    </a:custClr>
    <a:custClr name="FT TEAL1">
      <a:srgbClr val="E1F7F7"/>
    </a:custClr>
    <a:custClr name="FT GRAY4">
      <a:srgbClr val="595959"/>
    </a:custClr>
    <a:custClr name="FT GRAY1">
      <a:srgbClr val="E6E6E6"/>
    </a:custClr>
    <a:custClr name="FT SKY BLUE1">
      <a:srgbClr val="DDEA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VI_colors" id="{96703A4E-9E94-454C-85AB-711DBED7C32D}" vid="{600992E0-0419-440A-82F8-9311202FD1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28C48806939468800D2B48B162450" ma:contentTypeVersion="10" ma:contentTypeDescription="Create a new document." ma:contentTypeScope="" ma:versionID="f12befc63eb7798a33958aec0ff26fc2">
  <xsd:schema xmlns:xsd="http://www.w3.org/2001/XMLSchema" xmlns:xs="http://www.w3.org/2001/XMLSchema" xmlns:p="http://schemas.microsoft.com/office/2006/metadata/properties" xmlns:ns2="ea0174dd-00f6-425e-b01e-a516f3f80f02" xmlns:ns3="95bfcd2b-b7a0-4f15-aa7d-65c7ca55f3ed" targetNamespace="http://schemas.microsoft.com/office/2006/metadata/properties" ma:root="true" ma:fieldsID="5af850a63d5cd600ef3d7581b01997f0" ns2:_="" ns3:_="">
    <xsd:import namespace="ea0174dd-00f6-425e-b01e-a516f3f80f02"/>
    <xsd:import namespace="95bfcd2b-b7a0-4f15-aa7d-65c7ca55f3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174dd-00f6-425e-b01e-a516f3f8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fe12b5-77bc-42ce-a0da-224b9699da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fcd2b-b7a0-4f15-aa7d-65c7ca55f3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51e694-a2b9-4fcf-b220-55cd7ed2de31}" ma:internalName="TaxCatchAll" ma:showField="CatchAllData" ma:web="95bfcd2b-b7a0-4f15-aa7d-65c7ca55f3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0174dd-00f6-425e-b01e-a516f3f80f02">
      <Terms xmlns="http://schemas.microsoft.com/office/infopath/2007/PartnerControls"/>
    </lcf76f155ced4ddcb4097134ff3c332f>
    <TaxCatchAll xmlns="95bfcd2b-b7a0-4f15-aa7d-65c7ca55f3ed" xsi:nil="true"/>
  </documentManagement>
</p:properties>
</file>

<file path=customXml/itemProps1.xml><?xml version="1.0" encoding="utf-8"?>
<ds:datastoreItem xmlns:ds="http://schemas.openxmlformats.org/officeDocument/2006/customXml" ds:itemID="{CB7BEDB4-FDFA-47C9-A056-EDD4DE0CD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174dd-00f6-425e-b01e-a516f3f80f02"/>
    <ds:schemaRef ds:uri="95bfcd2b-b7a0-4f15-aa7d-65c7ca55f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8C3-D86D-4A3D-B221-2CEEBC8A8347}">
  <ds:schemaRefs>
    <ds:schemaRef ds:uri="http://schemas.microsoft.com/sharepoint/v3/contenttype/forms"/>
  </ds:schemaRefs>
</ds:datastoreItem>
</file>

<file path=customXml/itemProps3.xml><?xml version="1.0" encoding="utf-8"?>
<ds:datastoreItem xmlns:ds="http://schemas.openxmlformats.org/officeDocument/2006/customXml" ds:itemID="{C54EA03D-3876-4662-91B2-6391F82C1F86}">
  <ds:schemaRefs>
    <ds:schemaRef ds:uri="http://schemas.openxmlformats.org/officeDocument/2006/bibliography"/>
  </ds:schemaRefs>
</ds:datastoreItem>
</file>

<file path=customXml/itemProps4.xml><?xml version="1.0" encoding="utf-8"?>
<ds:datastoreItem xmlns:ds="http://schemas.openxmlformats.org/officeDocument/2006/customXml" ds:itemID="{FDCEE55E-6EF5-4B10-BC74-51B4438AF40F}">
  <ds:schemaRefs>
    <ds:schemaRef ds:uri="http://schemas.microsoft.com/office/2006/metadata/properties"/>
    <ds:schemaRef ds:uri="http://schemas.microsoft.com/office/infopath/2007/PartnerControls"/>
    <ds:schemaRef ds:uri="ea0174dd-00f6-425e-b01e-a516f3f80f02"/>
    <ds:schemaRef ds:uri="95bfcd2b-b7a0-4f15-aa7d-65c7ca55f3ed"/>
  </ds:schemaRefs>
</ds:datastoreItem>
</file>

<file path=docMetadata/LabelInfo.xml><?xml version="1.0" encoding="utf-8"?>
<clbl:labelList xmlns:clbl="http://schemas.microsoft.com/office/2020/mipLabelMetadata">
  <clbl:label id="{6109025a-6bb4-4372-983a-6854b858d80d}" enabled="1" method="Standard" siteId="{f72683d1-f405-42bf-a291-8e6032c6ad7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6499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Professional Fax</vt:lpstr>
    </vt:vector>
  </TitlesOfParts>
  <Company>Microsoft Corp.</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Fax</dc:title>
  <dc:subject/>
  <dc:creator>Microsoft Office User</dc:creator>
  <cp:keywords/>
  <dc:description/>
  <cp:lastModifiedBy>Birte Freese</cp:lastModifiedBy>
  <cp:revision>2</cp:revision>
  <cp:lastPrinted>2026-02-10T15:27:00Z</cp:lastPrinted>
  <dcterms:created xsi:type="dcterms:W3CDTF">2026-06-11T06:23:00Z</dcterms:created>
  <dcterms:modified xsi:type="dcterms:W3CDTF">2026-06-11T06:23:00Z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0x0101008C228C48806939468800D2B48B162450</vt:lpwstr>
  </property>
  <property fmtid="{D5CDD505-2E9C-101B-9397-08002B2CF9AE}" pid="6" name="GrammarlyDocumentId">
    <vt:lpwstr>bc4fdf5d-7ae3-4283-914b-b09954e6108e</vt:lpwstr>
  </property>
  <property fmtid="{D5CDD505-2E9C-101B-9397-08002B2CF9AE}" pid="7" name="ClassificationContentMarkingFooterShapeIds">
    <vt:lpwstr>2524e3b4,57519f1e,491fb8e9</vt:lpwstr>
  </property>
  <property fmtid="{D5CDD505-2E9C-101B-9397-08002B2CF9AE}" pid="8" name="ClassificationContentMarkingFooterFontProps">
    <vt:lpwstr>#000000,10,Aptos</vt:lpwstr>
  </property>
  <property fmtid="{D5CDD505-2E9C-101B-9397-08002B2CF9AE}" pid="9" name="ClassificationContentMarkingFooterText">
    <vt:lpwstr>Classification: Internal</vt:lpwstr>
  </property>
  <property fmtid="{D5CDD505-2E9C-101B-9397-08002B2CF9AE}" pid="10" name="MediaServiceImageTags">
    <vt:lpwstr/>
  </property>
</Properties>
</file>