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7857" w14:textId="35B5C169" w:rsidR="00573DB7" w:rsidRPr="00D10121" w:rsidRDefault="00CD75CD" w:rsidP="008272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14:ligatures w14:val="none"/>
        </w:rPr>
      </w:pPr>
      <w:r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Bubble or Boom - </w:t>
      </w:r>
      <w:proofErr w:type="spellStart"/>
      <w:r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>w</w:t>
      </w:r>
      <w:r w:rsidR="00374744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>arum</w:t>
      </w:r>
      <w:proofErr w:type="spellEnd"/>
      <w:r w:rsidR="00374744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 </w:t>
      </w:r>
      <w:proofErr w:type="spellStart"/>
      <w:r w:rsidR="0019480E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>wir</w:t>
      </w:r>
      <w:proofErr w:type="spellEnd"/>
      <w:r w:rsidR="0019480E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 </w:t>
      </w:r>
      <w:r w:rsidR="00374744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in den USA </w:t>
      </w:r>
      <w:r w:rsidR="0019480E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von </w:t>
      </w:r>
      <w:proofErr w:type="spellStart"/>
      <w:r w:rsidR="0019480E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>einem</w:t>
      </w:r>
      <w:proofErr w:type="spellEnd"/>
      <w:r w:rsidR="00374744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 xml:space="preserve"> Boom </w:t>
      </w:r>
      <w:proofErr w:type="spellStart"/>
      <w:r w:rsidR="0019480E">
        <w:rPr>
          <w:rFonts w:eastAsia="Times New Roman" w:cstheme="minorHAnsi"/>
          <w:b/>
          <w:bCs/>
          <w:kern w:val="36"/>
          <w:bdr w:val="none" w:sz="0" w:space="0" w:color="auto" w:frame="1"/>
          <w14:ligatures w14:val="none"/>
        </w:rPr>
        <w:t>ausgehen</w:t>
      </w:r>
      <w:proofErr w:type="spellEnd"/>
    </w:p>
    <w:p w14:paraId="331B7C05" w14:textId="7777777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C5FDFF8" w14:textId="6F75F6BA" w:rsidR="007A3F21" w:rsidRPr="00D132DC" w:rsidRDefault="007A3F21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Kommentar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Jeff Schulze, </w:t>
      </w:r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 xml:space="preserve">Head of Economic and Market Strategy </w:t>
      </w:r>
      <w:proofErr w:type="spellStart"/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>bei</w:t>
      </w:r>
      <w:proofErr w:type="spellEnd"/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>Clear</w:t>
      </w:r>
      <w:r w:rsidR="00B22C10" w:rsidRPr="00B22C10">
        <w:rPr>
          <w:rFonts w:eastAsia="Times New Roman" w:cstheme="minorHAnsi"/>
          <w:kern w:val="0"/>
          <w:sz w:val="22"/>
          <w:szCs w:val="22"/>
          <w14:ligatures w14:val="none"/>
        </w:rPr>
        <w:t>B</w:t>
      </w:r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>ridge</w:t>
      </w:r>
      <w:proofErr w:type="spellEnd"/>
      <w:r w:rsidR="005B672E" w:rsidRPr="00B22C10">
        <w:rPr>
          <w:rFonts w:eastAsia="Times New Roman" w:cstheme="minorHAnsi"/>
          <w:kern w:val="0"/>
          <w:sz w:val="22"/>
          <w:szCs w:val="22"/>
          <w14:ligatures w14:val="none"/>
        </w:rPr>
        <w:t xml:space="preserve"> Investments</w:t>
      </w:r>
      <w:r w:rsidR="00D10121">
        <w:rPr>
          <w:rFonts w:eastAsia="Times New Roman" w:cstheme="minorHAnsi"/>
          <w:kern w:val="0"/>
          <w:sz w:val="22"/>
          <w:szCs w:val="22"/>
          <w14:ligatures w14:val="none"/>
        </w:rPr>
        <w:t>, Teil von Franklin Templeton</w:t>
      </w:r>
    </w:p>
    <w:p w14:paraId="0748D1AF" w14:textId="77777777" w:rsidR="00D10121" w:rsidRDefault="00D10121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7437873" w14:textId="3A8B264B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Ob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Aktienmarktblase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bildet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zentralen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Frage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geworden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r w:rsidR="007A3F21"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Wir </w:t>
      </w:r>
      <w:proofErr w:type="spellStart"/>
      <w:r w:rsidR="007A3F21" w:rsidRPr="00D132DC">
        <w:rPr>
          <w:rFonts w:eastAsia="Times New Roman" w:cstheme="minorHAnsi"/>
          <w:kern w:val="0"/>
          <w:sz w:val="22"/>
          <w:szCs w:val="22"/>
          <w14:ligatures w14:val="none"/>
        </w:rPr>
        <w:t>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aufgrund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günstigen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Politik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gesunden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Konsumnachfrage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Gewinnwachstum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stützt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Boom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bevorstehen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2DC67C9" w14:textId="7777777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3F79F50" w14:textId="77777777" w:rsidR="00573DB7" w:rsidRPr="00D132DC" w:rsidRDefault="00573DB7" w:rsidP="00827236">
      <w:pPr>
        <w:spacing w:after="36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Geschwindigkeit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der S&amp;P 500 Index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Tiefstständen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April um 35 %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gestiegen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hat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viele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überrascht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darunter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uns.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Nahezu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alle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traditionellen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Bewertungskennzahlen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darauf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Markt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teuer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: Das Kurs-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Verhältnis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(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KGV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) für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nächsten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12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Monate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liegt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22,8,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Niveau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zuvor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Technologieblase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Ende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1990er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beobachten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war. Zwar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gibt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Anzeichen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Überhitzung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andere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Faktoren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darauf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jüngste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Anstieg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Marktes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günstigen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Policy-Mix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beruht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oder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sogar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Boom bis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unterstützt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Daher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Frage,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bildet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zentralen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Thema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geworden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02A9433B" w14:textId="77777777" w:rsidR="00036AE2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Bildet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Blase?</w:t>
      </w:r>
    </w:p>
    <w:p w14:paraId="49B4F465" w14:textId="0F315205" w:rsidR="002374B2" w:rsidRPr="00D10121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Ein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Beispiel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Entkopplung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Aktienkursen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zugrunde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liegenden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das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beobachten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gilt,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hyperlink r:id="rId5" w:history="1">
        <w:r w:rsidRPr="00D132DC">
          <w:rPr>
            <w:rFonts w:eastAsia="Times New Roman" w:cstheme="minorHAnsi"/>
            <w:kern w:val="0"/>
            <w:sz w:val="22"/>
            <w:szCs w:val="22"/>
            <w14:ligatures w14:val="none"/>
          </w:rPr>
          <w:t>die</w:t>
        </w:r>
      </w:hyperlink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jüngste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Schwäche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Arbeitsmarktes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Das Argument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lautet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verlangsamte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Schaffung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Arbeitsplätzen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dafür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wackeligen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Sinne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niedriger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notieren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geringere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Arbeitseinkommen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gesamten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Konsumausgaben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belasten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150969"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Schaffung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Arbeitsplätzen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bleibt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positiven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Bereich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dürfte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bis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erholen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Impulse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dem „One Big Beautiful Bill” (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OBBB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)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greifen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Gegenwindfaktoren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Handels-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Einwanderungspolitik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nachlassen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Wichtig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Index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wöchentlichen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Gesamtlohnsumme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guter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Indikator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gesamte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Arbeitseinkommen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USA –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solide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Zuwächse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verzeichnet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acht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Monaten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Jahres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annualisierten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Rate von 4,2 %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gestiegen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was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künftigen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Konsum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ankurbeln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dürfte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Angesichts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nachlassenden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Unsicherheit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erwarteten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Erholung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Einstellungstätigkeit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zudem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Überraschung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Wert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Monaten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Richtung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für 2024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prognostizierten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Rate von 4,6 %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beschleunigen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würde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4047FE3" w14:textId="77777777" w:rsidR="002374B2" w:rsidRPr="00D132DC" w:rsidRDefault="002374B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8280E4E" w14:textId="6D7D745C" w:rsidR="00573DB7" w:rsidRPr="00D132DC" w:rsidRDefault="00573DB7" w:rsidP="00827236">
      <w:pPr>
        <w:spacing w:after="36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Baugenehmigungen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zweieinhalb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größtenteils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rückläufig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fünf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jeweils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zurückgegangen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Das Dashboard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konzentriert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Baugenehmigungen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tendenziell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tatsächlichen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„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Spatenstichen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”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Baubeginnen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vorausgehen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Baubeginne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Ende 2022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innerhalb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Bandbreite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bleiben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Baugenehmigungen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Monaten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zurückgegangen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nähern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nun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Jahresniveau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1,3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Millionen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was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Rückgang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12 %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gegenüber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jüngsten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Höchststand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Ende 2024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entspricht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D10121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Hohe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Immobilienpreise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Zinssätze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Erschwinglichkeit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beeinträchtigt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woraufhin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Kennzahlen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Aktivität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dem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Wohnungsmarkt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eingebrochen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gute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Nachricht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Hausbesitzer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offenbar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überfordert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Kreditgeber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15 Jahren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strenge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Kreditvergabebedingungen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beibehalten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Tatsächlich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Verbraucher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aufgrund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soliden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Bilanzen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der Lage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sein,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Bedarf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zusätzliche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Kredite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aufzunehmen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was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Puffer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Finanzierungsquelle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bietet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03B98DBF" w14:textId="5581959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 xml:space="preserve">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Gesamtvermögen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Hausbesitzer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laut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Federal Reserve auf 35,8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Billionen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US-Dollar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gestiegen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Mit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Hypothekenverbindlichkeiten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13,5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Billionen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US-Dollar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Verbraucher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ausreichend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Spielraum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verfügen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um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Hypothekarkredite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(HELOCs)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Anspruch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Gesamtverschuldung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HELOCs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erreichte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laut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Federal Deposit Insurance Corporation (FDIC) 2009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Höchststand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sank bis 2022 um 61 %,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moderater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Anstieg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8 %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verzeichnen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war.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mangelnde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Verschuldung</w:t>
      </w:r>
      <w:proofErr w:type="spellEnd"/>
      <w:r w:rsidR="00D10121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Verbraucher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darauf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möglicherweise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bildende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Immobilienblase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Ähnlichkeit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hat.</w:t>
      </w:r>
    </w:p>
    <w:p w14:paraId="70A5D504" w14:textId="77777777" w:rsidR="002374B2" w:rsidRPr="00D132DC" w:rsidRDefault="002374B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CE0AED4" w14:textId="65886D16" w:rsidR="002374B2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Ein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Bereich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in dem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hindeuten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Unternehmensgewinne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stiegen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zweiten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Quartal an, und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Prognosen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darauf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Wege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Kosten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höhere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Zölle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auszugleichen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Margen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dritten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Quartal und bis ins Jahr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dürften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Steigende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Vorbote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gesunden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Arbeitsmarktes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1965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Durchschnitt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Quartale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historischen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Rezession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tendenziell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stagnieren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zurückgehen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 für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anhaltendes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Gewinnwachstum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jüngste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Entwicklung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kaum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Ähnlichkeiten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vergangenen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Perioden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auf. Anders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ausgedrückt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: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Unternehmensgewinne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sprechen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Entkopplung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Aktienkurse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zugrunde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liegenden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053F0FA2" w14:textId="77777777" w:rsidR="002374B2" w:rsidRPr="00D132DC" w:rsidRDefault="002374B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46F5DEB" w14:textId="77777777" w:rsidR="00573DB7" w:rsidRPr="00D132DC" w:rsidRDefault="00573DB7" w:rsidP="00827236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Bildet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Boom?</w:t>
      </w:r>
    </w:p>
    <w:p w14:paraId="688F968E" w14:textId="383F92A6" w:rsidR="002374B2" w:rsidRPr="00570408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Viele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Diskrepanzen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steigenden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Aktienkursen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zugrunde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liegenden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auf die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Befürworter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hinweisen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nuancierter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zunächst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erscheinen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wirft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Frage auf,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statt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Boom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bevorsteht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-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geldpolitischen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Rahmenbedingungen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Boom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wirkungsvollen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Kombination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Zinssenkungen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Fed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Konjunkturpaket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Kombination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der Regel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Abschwüngen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beobachten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um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Flaute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holen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570408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Auch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Fed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Terminmärkte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hinsichtlich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Zinssenkungen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mehr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vier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Prozentpunkte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bis Ende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möglicherweise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erfüllen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mehreren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Zinssenkungen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Sollte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Fed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weniger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Zinssenkungen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Markt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würde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unserer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Meinung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positiv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bewertet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 dies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wahrscheinlich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Hintergrund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gesünderen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Wirtschaftslage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geschehen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würde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Mit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Verabschiedung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OBBB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Impuls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Fiskalpolitik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sicherer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Kurs der Fed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 2026.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Fiskalische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Impulse in Form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Steuererleichterungen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Verbraucher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eintreten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das Congressional Budget Office (CBO)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Auswirkungen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fast 1 % des BIP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schätzt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1A9C84C0" w14:textId="77777777" w:rsidR="00573DB7" w:rsidRPr="00D132DC" w:rsidRDefault="00573DB7" w:rsidP="00827236">
      <w:pPr>
        <w:spacing w:after="36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Aussichten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Politik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Regierung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zurückzuführen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Ökonomen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Konsumausgaben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robust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bleiben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Unternehmensinvestitionen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aufgrund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anhaltenden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Stärke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Infrastruktur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künstliche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Intelligenz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(KI)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Einige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Investoren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verweisen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bereits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Infrastrukturinvestitionen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Hunderten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Milliarden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Dollar (Chips, Strom,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Rechenzentren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)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astronomisch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hohe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Gehälter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führende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KI-Forscher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Anzeichen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irrationale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Überschwänglichkeit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an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Technologieblase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Ende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1990er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erinnert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74F7B06" w14:textId="482C3C0B" w:rsidR="00573DB7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wichtig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beachten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Zeitraum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bildeten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zugrunde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liegende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profitierte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Nachhinein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anhand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Produktivitätsdaten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Internetrevolution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entscheidende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Frage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lautet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starke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Produktivitätssteigerungen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aufrechterhalten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ähnlicher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Weise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>steigen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Anders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ausgedrückt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: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KI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letztendlich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hohen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gerecht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selbst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vollständig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genügend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Vorteile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materialisieren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Wirtschaftswachstum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ankurbeln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Boom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auslösen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?</w:t>
      </w:r>
      <w:r w:rsidR="00827236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Obwohl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starke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aufgrund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Zinssenkungen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Spekulationen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bestätigen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fehlt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unserer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Meinung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wichtiger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Faktor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Blase: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spekulative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Übertreibungen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Zwar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gibt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Anzeichen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Überhitzung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klassische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der Regel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rasante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Preisbeschleunigung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gekennzeichnet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durch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Euphorie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wahllose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Käufe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Abkopplung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finanziellen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Realität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angetrieben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E33C84D" w14:textId="77777777" w:rsidR="00827236" w:rsidRPr="00D132DC" w:rsidRDefault="00827236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F2F8B7D" w14:textId="7777777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bleibt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Stimmung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vorsichtig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Zahl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optimistischen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pessimistischen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Befragten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AAII-Stimmungsumfrage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nahezu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ausgeglichen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(+3,7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optimistisch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Wert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Mittelfeld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).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scheint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verbreiteten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wahllosen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Käufe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und die Rallye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fiel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Aussichten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zusammen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was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gewisse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Realitätsnähe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hindeutet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Zusammenhang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Ökonomen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das BIP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gegenüber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Tiefstständen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Mitte Mai um 40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Basispunkte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gestiegen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EPS-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Sell-Side für den S&amp;P 500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dritten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Quartal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Verabschiedung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OBBB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Sichtbarkeit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Handelspolitik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ungewöhnliche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Aufwärts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genommen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31F3F650" w14:textId="77777777" w:rsidR="00EA3A12" w:rsidRPr="00D132DC" w:rsidRDefault="00EA3A1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A2578C8" w14:textId="7777777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Da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Aussichten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KI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zurückzuführen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dürfte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größere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Gruppe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profitieren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 Die EPS-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Sell-Side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Ausweitung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wobei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S&amp;P 493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kleine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mittelständische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S&amp;P 1000 Index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bereit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Lücke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Magnificent Seven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Bezug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Gewinnentwicklung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 2026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schließen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EPS-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Wachstumsvorteil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Magnificent Seven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verringert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Marktführerschaft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auf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weniger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teuer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bewertete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Nachzügler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dieses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Zyklus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SMID-Cap- und Value-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verlagern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relativ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aufholen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B50D92A" w14:textId="773D3A12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452BC6" w14:textId="53F5D95D" w:rsidR="00EA3A12" w:rsidRPr="00D132DC" w:rsidRDefault="00EA3A1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noProof/>
          <w:kern w:val="0"/>
          <w:sz w:val="22"/>
          <w:szCs w:val="22"/>
          <w14:ligatures w14:val="none"/>
        </w:rPr>
        <w:drawing>
          <wp:inline distT="0" distB="0" distL="0" distR="0" wp14:anchorId="385E493C" wp14:editId="5CD29ABD">
            <wp:extent cx="4513203" cy="2963447"/>
            <wp:effectExtent l="0" t="0" r="0" b="0"/>
            <wp:docPr id="14325961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25" cy="299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DA5" w14:textId="77777777" w:rsidR="00EA3A12" w:rsidRPr="00D132DC" w:rsidRDefault="00EA3A1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7A80868" w14:textId="77777777" w:rsidR="00573DB7" w:rsidRPr="00827236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</w:pPr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Der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Begriff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„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Konsens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”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bezieht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sich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in der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Kapitalmarktbranche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auf den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Durchschnitt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der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Gewinnschätzungen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von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Fachleuten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. Die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Daten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zu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den „Magnificent 7”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beziehen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sich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auf die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folgenden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Aktien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: Microsoft (MSFT), Amazon (AMZN), Meta (META), Apple (AAPL), Google-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Muttergesellschaft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Alphabet (GOOGL), Nvidia (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NVDA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) und Tesla (TSLA).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Daten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zum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 xml:space="preserve"> 30. September 2025. </w:t>
      </w:r>
      <w:proofErr w:type="spellStart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Quellen</w:t>
      </w:r>
      <w:proofErr w:type="spellEnd"/>
      <w:r w:rsidRPr="00827236">
        <w:rPr>
          <w:rFonts w:eastAsia="Times New Roman" w:cstheme="minorHAnsi"/>
          <w:kern w:val="0"/>
          <w:sz w:val="18"/>
          <w:szCs w:val="18"/>
          <w:bdr w:val="none" w:sz="0" w:space="0" w:color="auto" w:frame="1"/>
          <w14:ligatures w14:val="none"/>
        </w:rPr>
        <w:t>: FactSet, S&amp;P.</w:t>
      </w:r>
    </w:p>
    <w:p w14:paraId="10C4BB45" w14:textId="77777777" w:rsidR="00EA3A12" w:rsidRPr="00D132DC" w:rsidRDefault="00EA3A12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CDB3DA7" w14:textId="77777777" w:rsidR="00EA3A12" w:rsidRPr="00D132DC" w:rsidRDefault="00573DB7" w:rsidP="00827236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Blase </w:t>
      </w:r>
      <w:proofErr w:type="spellStart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oder</w:t>
      </w:r>
      <w:proofErr w:type="spellEnd"/>
      <w:r w:rsidRPr="00D132DC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Boom?</w:t>
      </w:r>
    </w:p>
    <w:p w14:paraId="1892205D" w14:textId="35496CAF" w:rsidR="00573DB7" w:rsidRDefault="00573DB7" w:rsidP="00827236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Historisch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gesehen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Blasen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entstanden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übermäßige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Liquidität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übertriebenen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Risikoverhalten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geführt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hat. Zwar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Liquidität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sicherlich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reichlich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vorhanden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scheint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angesichts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fundamentalen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Aussichten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jüngsten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Stärke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Aktienmärkte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einhergehen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übertriebenen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Risikoverhalten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nicht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heißen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Anzeichen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Übertreibungen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gibt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oder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Schwachstellen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erkennbar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jedoch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vereinzelt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oder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erklärbar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beispielsweise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Rückgang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Einwanderung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maßgeblich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Verlangsamung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Beschäftigungswachstums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beiträgt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70BCD42" w14:textId="77777777" w:rsidR="00827236" w:rsidRPr="00D132DC" w:rsidRDefault="00827236" w:rsidP="00827236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38F05099" w14:textId="77777777" w:rsidR="00573DB7" w:rsidRPr="00D132DC" w:rsidRDefault="00573DB7" w:rsidP="00827236">
      <w:pPr>
        <w:spacing w:after="36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Mit Blick auf die Zukunft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glauben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übliche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Verbindung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Produktion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Beschäftigung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wahrscheinlich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schwächer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sein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allgemein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angenommen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GDPNow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-Tool der Federal Reserve Bank of Atlanta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prognostiziert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für das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dritte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Quartal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BIP-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Wachstum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3,8 %,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während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Nettoarbeitsplatzschaffung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vier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Monate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25.000 lag.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Einige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Faktoren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Entkopplung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vorantreiben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zwar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politisch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bedingt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beispielsweise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Einwanderung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Dynamik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wenn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KI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beginnt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Produktivität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deutlicher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steigern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650DBFD" w14:textId="77777777" w:rsidR="00573DB7" w:rsidRPr="00D132DC" w:rsidRDefault="00573DB7" w:rsidP="00827236">
      <w:pPr>
        <w:spacing w:after="36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Weniger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Arbeitnehmer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, die (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Werkzeugen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)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etwas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mehr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leisten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Anstieg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-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Unternehmensgewinne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führen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selbst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schleppenden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Einstellungsumfeld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weiterhin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Wirtschafts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- und EPS-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Zuwächse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möglich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sind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In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diesem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Szenario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würden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Aktienmärkte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wahrscheinlich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noch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höhere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Niveaus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erreichen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da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Unternehmen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höheren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Umsätzen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profitieren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gleichzeitig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Kosten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Kontrolle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halten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Margen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weiter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ausbauen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ihre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steigern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könnten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17147405" w14:textId="77777777" w:rsidR="00573DB7" w:rsidRPr="00D132DC" w:rsidRDefault="00573DB7" w:rsidP="00827236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Langfristig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erklären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Veränderungen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Gewinnerwartungen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größten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Teil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Aktienkursbewegungen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etwa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Drittel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Zeitraum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drei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Viertel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Zeitraum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von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zwei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Jahren. Nur die Zeit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wird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zeigen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ob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Aktien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derzeit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übermäßig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optimistische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„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blasige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” Zukunft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oder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unterschätzten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„Boom”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bei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Gewinnen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einpreisen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aber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sich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allgemein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verbessernden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Aussichten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lassen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uns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glauben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das Boom-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Szenario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wahrscheinlicher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ist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Sollte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es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im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Quartal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einem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Rückgang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kommen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wir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davon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aus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dass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Anleger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angesichts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der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reichlichen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Liquidität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und der starken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fiskal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- und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geldpolitischen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Rückenwindfaktoren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schnell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zugreifen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werden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, um die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Kursrückgänge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zu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nutzen</w:t>
      </w:r>
      <w:proofErr w:type="spellEnd"/>
      <w:r w:rsidRPr="00D132DC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5B80D5C3" w14:textId="77777777" w:rsidR="008E3DCB" w:rsidRPr="00D132DC" w:rsidRDefault="008E3DCB" w:rsidP="00827236">
      <w:pPr>
        <w:jc w:val="both"/>
        <w:rPr>
          <w:rFonts w:cstheme="minorHAnsi"/>
          <w:sz w:val="22"/>
          <w:szCs w:val="22"/>
        </w:rPr>
      </w:pPr>
    </w:p>
    <w:sectPr w:rsidR="008E3DCB" w:rsidRPr="00D13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6584"/>
    <w:multiLevelType w:val="multilevel"/>
    <w:tmpl w:val="FD62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3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B7"/>
    <w:rsid w:val="00036AE2"/>
    <w:rsid w:val="00150969"/>
    <w:rsid w:val="0019480E"/>
    <w:rsid w:val="002374B2"/>
    <w:rsid w:val="00292942"/>
    <w:rsid w:val="00374744"/>
    <w:rsid w:val="003B31E5"/>
    <w:rsid w:val="00450218"/>
    <w:rsid w:val="00553EA4"/>
    <w:rsid w:val="00570408"/>
    <w:rsid w:val="00573DB7"/>
    <w:rsid w:val="005A6EA3"/>
    <w:rsid w:val="005B672E"/>
    <w:rsid w:val="00613D38"/>
    <w:rsid w:val="006D6F71"/>
    <w:rsid w:val="007A3F21"/>
    <w:rsid w:val="007F4566"/>
    <w:rsid w:val="00827236"/>
    <w:rsid w:val="008B0F59"/>
    <w:rsid w:val="008C33C6"/>
    <w:rsid w:val="008E3DCB"/>
    <w:rsid w:val="00970A22"/>
    <w:rsid w:val="00B22C10"/>
    <w:rsid w:val="00B40A3A"/>
    <w:rsid w:val="00CD75CD"/>
    <w:rsid w:val="00CF2395"/>
    <w:rsid w:val="00D10121"/>
    <w:rsid w:val="00D132DC"/>
    <w:rsid w:val="00DF64F7"/>
    <w:rsid w:val="00EA3A12"/>
    <w:rsid w:val="00E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2CAB"/>
  <w15:chartTrackingRefBased/>
  <w15:docId w15:val="{7F4F092B-067B-4740-833C-E1D7E07D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3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3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3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3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3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3DB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3DB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3D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3D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3D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3D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3D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3D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3DB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3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3DB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3DB7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bsatz-Standardschriftart"/>
    <w:rsid w:val="00573DB7"/>
  </w:style>
  <w:style w:type="character" w:customStyle="1" w:styleId="pull-quotefooter-content">
    <w:name w:val="pull-quote__footer-content"/>
    <w:basedOn w:val="Absatz-Standardschriftart"/>
    <w:rsid w:val="00573DB7"/>
  </w:style>
  <w:style w:type="paragraph" w:styleId="StandardWeb">
    <w:name w:val="Normal (Web)"/>
    <w:basedOn w:val="Standard"/>
    <w:uiPriority w:val="99"/>
    <w:semiHidden/>
    <w:unhideWhenUsed/>
    <w:rsid w:val="0057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57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ranklintempleton.lu/articles/2025/clearbridge-investments/aor-update-labor-market-bending-not-brok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1756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Schmidt</dc:creator>
  <cp:keywords>, docId:CEE7AF6A94EA5C4F74E79AAE28D07299</cp:keywords>
  <dc:description/>
  <cp:lastModifiedBy>Birte Freese</cp:lastModifiedBy>
  <cp:revision>21</cp:revision>
  <dcterms:created xsi:type="dcterms:W3CDTF">2025-10-20T14:51:00Z</dcterms:created>
  <dcterms:modified xsi:type="dcterms:W3CDTF">2025-10-21T11:44:00Z</dcterms:modified>
</cp:coreProperties>
</file>