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284B" w14:textId="4FA1E374" w:rsidR="007A05FC" w:rsidRDefault="008F3B16" w:rsidP="00E97A2A">
      <w:pPr>
        <w:pStyle w:val="berschrift1"/>
        <w:ind w:right="543"/>
        <w:jc w:val="both"/>
        <w:rPr>
          <w:rFonts w:ascii="Calibri" w:hAnsi="Calibri" w:cs="Calibri"/>
          <w:b/>
          <w:bCs/>
          <w:color w:val="000000" w:themeColor="text1"/>
          <w:sz w:val="28"/>
          <w:szCs w:val="28"/>
        </w:rPr>
      </w:pPr>
      <w:proofErr w:type="spellStart"/>
      <w:r>
        <w:rPr>
          <w:rFonts w:ascii="Calibri" w:hAnsi="Calibri" w:cs="Calibri"/>
          <w:b/>
          <w:bCs/>
          <w:color w:val="000000" w:themeColor="text1"/>
          <w:sz w:val="28"/>
          <w:szCs w:val="28"/>
        </w:rPr>
        <w:t>Europäische</w:t>
      </w:r>
      <w:proofErr w:type="spellEnd"/>
      <w:r>
        <w:rPr>
          <w:rFonts w:ascii="Calibri" w:hAnsi="Calibri" w:cs="Calibri"/>
          <w:b/>
          <w:bCs/>
          <w:color w:val="000000" w:themeColor="text1"/>
          <w:sz w:val="28"/>
          <w:szCs w:val="28"/>
        </w:rPr>
        <w:t xml:space="preserve"> </w:t>
      </w:r>
      <w:proofErr w:type="spellStart"/>
      <w:r>
        <w:rPr>
          <w:rFonts w:ascii="Calibri" w:hAnsi="Calibri" w:cs="Calibri"/>
          <w:b/>
          <w:bCs/>
          <w:color w:val="000000" w:themeColor="text1"/>
          <w:sz w:val="28"/>
          <w:szCs w:val="28"/>
        </w:rPr>
        <w:t>Dividendenrenditen</w:t>
      </w:r>
      <w:proofErr w:type="spellEnd"/>
      <w:r>
        <w:rPr>
          <w:rFonts w:ascii="Calibri" w:hAnsi="Calibri" w:cs="Calibri"/>
          <w:b/>
          <w:bCs/>
          <w:color w:val="000000" w:themeColor="text1"/>
          <w:sz w:val="28"/>
          <w:szCs w:val="28"/>
        </w:rPr>
        <w:t xml:space="preserve"> </w:t>
      </w:r>
      <w:proofErr w:type="spellStart"/>
      <w:r>
        <w:rPr>
          <w:rFonts w:ascii="Calibri" w:hAnsi="Calibri" w:cs="Calibri"/>
          <w:b/>
          <w:bCs/>
          <w:color w:val="000000" w:themeColor="text1"/>
          <w:sz w:val="28"/>
          <w:szCs w:val="28"/>
        </w:rPr>
        <w:t>liegen</w:t>
      </w:r>
      <w:proofErr w:type="spellEnd"/>
      <w:r>
        <w:rPr>
          <w:rFonts w:ascii="Calibri" w:hAnsi="Calibri" w:cs="Calibri"/>
          <w:b/>
          <w:bCs/>
          <w:color w:val="000000" w:themeColor="text1"/>
          <w:sz w:val="28"/>
          <w:szCs w:val="28"/>
        </w:rPr>
        <w:t xml:space="preserve"> </w:t>
      </w:r>
      <w:proofErr w:type="spellStart"/>
      <w:r>
        <w:rPr>
          <w:rFonts w:ascii="Calibri" w:hAnsi="Calibri" w:cs="Calibri"/>
          <w:b/>
          <w:bCs/>
          <w:color w:val="000000" w:themeColor="text1"/>
          <w:sz w:val="28"/>
          <w:szCs w:val="28"/>
        </w:rPr>
        <w:t>über</w:t>
      </w:r>
      <w:proofErr w:type="spellEnd"/>
      <w:r>
        <w:rPr>
          <w:rFonts w:ascii="Calibri" w:hAnsi="Calibri" w:cs="Calibri"/>
          <w:b/>
          <w:bCs/>
          <w:color w:val="000000" w:themeColor="text1"/>
          <w:sz w:val="28"/>
          <w:szCs w:val="28"/>
        </w:rPr>
        <w:t xml:space="preserve"> </w:t>
      </w:r>
      <w:proofErr w:type="spellStart"/>
      <w:r>
        <w:rPr>
          <w:rFonts w:ascii="Calibri" w:hAnsi="Calibri" w:cs="Calibri"/>
          <w:b/>
          <w:bCs/>
          <w:color w:val="000000" w:themeColor="text1"/>
          <w:sz w:val="28"/>
          <w:szCs w:val="28"/>
        </w:rPr>
        <w:t>Anleihen</w:t>
      </w:r>
      <w:proofErr w:type="spellEnd"/>
      <w:r w:rsidR="005B3AE9">
        <w:rPr>
          <w:rFonts w:ascii="Calibri" w:hAnsi="Calibri" w:cs="Calibri"/>
          <w:b/>
          <w:bCs/>
          <w:color w:val="000000" w:themeColor="text1"/>
          <w:sz w:val="28"/>
          <w:szCs w:val="28"/>
        </w:rPr>
        <w:t>-</w:t>
      </w:r>
      <w:r>
        <w:rPr>
          <w:rFonts w:ascii="Calibri" w:hAnsi="Calibri" w:cs="Calibri"/>
          <w:b/>
          <w:bCs/>
          <w:color w:val="000000" w:themeColor="text1"/>
          <w:sz w:val="28"/>
          <w:szCs w:val="28"/>
        </w:rPr>
        <w:t xml:space="preserve"> und </w:t>
      </w:r>
      <w:proofErr w:type="spellStart"/>
      <w:r w:rsidR="005B3AE9">
        <w:rPr>
          <w:rFonts w:ascii="Calibri" w:hAnsi="Calibri" w:cs="Calibri"/>
          <w:b/>
          <w:bCs/>
          <w:color w:val="000000" w:themeColor="text1"/>
          <w:sz w:val="28"/>
          <w:szCs w:val="28"/>
        </w:rPr>
        <w:t>Bargeldzinsen</w:t>
      </w:r>
      <w:proofErr w:type="spellEnd"/>
    </w:p>
    <w:p w14:paraId="02084D64" w14:textId="6742CF0D" w:rsidR="008E2155" w:rsidRPr="008E2155" w:rsidRDefault="008E2155" w:rsidP="00E97A2A">
      <w:pPr>
        <w:ind w:right="543"/>
        <w:jc w:val="both"/>
        <w:rPr>
          <w:rFonts w:ascii="Calibri" w:hAnsi="Calibri" w:cs="Calibri"/>
        </w:rPr>
      </w:pPr>
      <w:r>
        <w:rPr>
          <w:rFonts w:ascii="Calibri" w:hAnsi="Calibri" w:cs="Calibri"/>
          <w:b/>
          <w:bCs/>
          <w:color w:val="000000" w:themeColor="text1"/>
          <w:sz w:val="21"/>
          <w:szCs w:val="21"/>
          <w:shd w:val="clear" w:color="auto" w:fill="FFFFFF"/>
        </w:rPr>
        <w:t xml:space="preserve">Von Marcus </w:t>
      </w:r>
      <w:proofErr w:type="spellStart"/>
      <w:r>
        <w:rPr>
          <w:rFonts w:ascii="Calibri" w:hAnsi="Calibri" w:cs="Calibri"/>
          <w:b/>
          <w:bCs/>
          <w:color w:val="000000" w:themeColor="text1"/>
          <w:sz w:val="21"/>
          <w:szCs w:val="21"/>
          <w:shd w:val="clear" w:color="auto" w:fill="FFFFFF"/>
        </w:rPr>
        <w:t>Weyerer</w:t>
      </w:r>
      <w:proofErr w:type="spellEnd"/>
      <w:r>
        <w:rPr>
          <w:rFonts w:ascii="Calibri" w:hAnsi="Calibri" w:cs="Calibri"/>
          <w:b/>
          <w:bCs/>
          <w:color w:val="000000" w:themeColor="text1"/>
          <w:sz w:val="21"/>
          <w:szCs w:val="21"/>
          <w:shd w:val="clear" w:color="auto" w:fill="FFFFFF"/>
        </w:rPr>
        <w:t xml:space="preserve">, </w:t>
      </w:r>
      <w:r w:rsidRPr="008E2155">
        <w:rPr>
          <w:rFonts w:ascii="Calibri" w:hAnsi="Calibri" w:cs="Calibri"/>
          <w:b/>
          <w:bCs/>
          <w:color w:val="000000" w:themeColor="text1"/>
          <w:sz w:val="21"/>
          <w:szCs w:val="21"/>
          <w:shd w:val="clear" w:color="auto" w:fill="FFFFFF"/>
        </w:rPr>
        <w:t>Direktor ETF</w:t>
      </w:r>
      <w:r>
        <w:rPr>
          <w:rFonts w:ascii="Calibri" w:hAnsi="Calibri" w:cs="Calibri"/>
          <w:b/>
          <w:bCs/>
          <w:color w:val="000000" w:themeColor="text1"/>
          <w:sz w:val="21"/>
          <w:szCs w:val="21"/>
          <w:shd w:val="clear" w:color="auto" w:fill="FFFFFF"/>
        </w:rPr>
        <w:t xml:space="preserve"> </w:t>
      </w:r>
      <w:proofErr w:type="spellStart"/>
      <w:r w:rsidRPr="008E2155">
        <w:rPr>
          <w:rFonts w:ascii="Calibri" w:hAnsi="Calibri" w:cs="Calibri"/>
          <w:b/>
          <w:bCs/>
          <w:color w:val="000000" w:themeColor="text1"/>
          <w:sz w:val="21"/>
          <w:szCs w:val="21"/>
          <w:shd w:val="clear" w:color="auto" w:fill="FFFFFF"/>
        </w:rPr>
        <w:t>Anlagestrategie</w:t>
      </w:r>
      <w:proofErr w:type="spellEnd"/>
      <w:r w:rsidRPr="008E2155">
        <w:rPr>
          <w:rFonts w:ascii="Calibri" w:hAnsi="Calibri" w:cs="Calibri"/>
          <w:b/>
          <w:bCs/>
          <w:color w:val="000000" w:themeColor="text1"/>
          <w:sz w:val="21"/>
          <w:szCs w:val="21"/>
          <w:shd w:val="clear" w:color="auto" w:fill="FFFFFF"/>
        </w:rPr>
        <w:t xml:space="preserve"> für die EMEA-Region </w:t>
      </w:r>
      <w:proofErr w:type="spellStart"/>
      <w:r w:rsidRPr="008E2155">
        <w:rPr>
          <w:rFonts w:ascii="Calibri" w:hAnsi="Calibri" w:cs="Calibri"/>
          <w:b/>
          <w:bCs/>
          <w:color w:val="000000" w:themeColor="text1"/>
          <w:sz w:val="21"/>
          <w:szCs w:val="21"/>
          <w:shd w:val="clear" w:color="auto" w:fill="FFFFFF"/>
        </w:rPr>
        <w:t>bei</w:t>
      </w:r>
      <w:proofErr w:type="spellEnd"/>
      <w:r w:rsidRPr="008E2155">
        <w:rPr>
          <w:rFonts w:ascii="Calibri" w:hAnsi="Calibri" w:cs="Calibri"/>
          <w:b/>
          <w:bCs/>
          <w:color w:val="000000" w:themeColor="text1"/>
          <w:sz w:val="21"/>
          <w:szCs w:val="21"/>
          <w:shd w:val="clear" w:color="auto" w:fill="FFFFFF"/>
        </w:rPr>
        <w:t xml:space="preserve"> Franklin Templeton</w:t>
      </w:r>
    </w:p>
    <w:p w14:paraId="6E2F8BB6" w14:textId="1E604878" w:rsidR="000925B6" w:rsidRPr="00F00A87" w:rsidRDefault="000925B6" w:rsidP="00E97A2A">
      <w:pPr>
        <w:pStyle w:val="StandardWeb"/>
        <w:ind w:right="543"/>
        <w:jc w:val="both"/>
      </w:pPr>
      <w:r w:rsidRPr="007A0B11">
        <w:rPr>
          <w:rFonts w:ascii="Calibri" w:hAnsi="Calibri" w:cs="Calibri"/>
          <w:sz w:val="22"/>
          <w:szCs w:val="22"/>
        </w:rPr>
        <w:t xml:space="preserve">Nach </w:t>
      </w:r>
      <w:proofErr w:type="spellStart"/>
      <w:r w:rsidRPr="007A0B11">
        <w:rPr>
          <w:rFonts w:ascii="Calibri" w:hAnsi="Calibri" w:cs="Calibri"/>
          <w:sz w:val="22"/>
          <w:szCs w:val="22"/>
        </w:rPr>
        <w:t>acht</w:t>
      </w:r>
      <w:proofErr w:type="spellEnd"/>
      <w:r w:rsidRPr="007A0B11">
        <w:rPr>
          <w:rFonts w:ascii="Calibri" w:hAnsi="Calibri" w:cs="Calibri"/>
          <w:sz w:val="22"/>
          <w:szCs w:val="22"/>
        </w:rPr>
        <w:t xml:space="preserve"> </w:t>
      </w:r>
      <w:proofErr w:type="spellStart"/>
      <w:r w:rsidRPr="007A0B11">
        <w:rPr>
          <w:rFonts w:ascii="Calibri" w:hAnsi="Calibri" w:cs="Calibri"/>
          <w:sz w:val="22"/>
          <w:szCs w:val="22"/>
        </w:rPr>
        <w:t>aufeinanderfolgenden</w:t>
      </w:r>
      <w:proofErr w:type="spellEnd"/>
      <w:r w:rsidRPr="007A0B11">
        <w:rPr>
          <w:rFonts w:ascii="Calibri" w:hAnsi="Calibri" w:cs="Calibri"/>
          <w:sz w:val="22"/>
          <w:szCs w:val="22"/>
        </w:rPr>
        <w:t xml:space="preserve"> </w:t>
      </w:r>
      <w:proofErr w:type="spellStart"/>
      <w:r w:rsidRPr="007A0B11">
        <w:rPr>
          <w:rFonts w:ascii="Calibri" w:hAnsi="Calibri" w:cs="Calibri"/>
          <w:sz w:val="22"/>
          <w:szCs w:val="22"/>
        </w:rPr>
        <w:t>Zinssenkungen</w:t>
      </w:r>
      <w:proofErr w:type="spellEnd"/>
      <w:r w:rsidRPr="007A0B11">
        <w:rPr>
          <w:rFonts w:ascii="Calibri" w:hAnsi="Calibri" w:cs="Calibri"/>
          <w:sz w:val="22"/>
          <w:szCs w:val="22"/>
        </w:rPr>
        <w:t xml:space="preserve"> </w:t>
      </w:r>
      <w:proofErr w:type="spellStart"/>
      <w:r w:rsidRPr="007A0B11">
        <w:rPr>
          <w:rFonts w:ascii="Calibri" w:hAnsi="Calibri" w:cs="Calibri"/>
          <w:sz w:val="22"/>
          <w:szCs w:val="22"/>
        </w:rPr>
        <w:t>durch</w:t>
      </w:r>
      <w:proofErr w:type="spellEnd"/>
      <w:r w:rsidRPr="007A0B11">
        <w:rPr>
          <w:rFonts w:ascii="Calibri" w:hAnsi="Calibri" w:cs="Calibri"/>
          <w:sz w:val="22"/>
          <w:szCs w:val="22"/>
        </w:rPr>
        <w:t xml:space="preserve"> die Europäische </w:t>
      </w:r>
      <w:proofErr w:type="spellStart"/>
      <w:r w:rsidRPr="007A0B11">
        <w:rPr>
          <w:rFonts w:ascii="Calibri" w:hAnsi="Calibri" w:cs="Calibri"/>
          <w:sz w:val="22"/>
          <w:szCs w:val="22"/>
        </w:rPr>
        <w:t>Zentralbank</w:t>
      </w:r>
      <w:proofErr w:type="spellEnd"/>
      <w:r w:rsidRPr="007A0B11">
        <w:rPr>
          <w:rFonts w:ascii="Calibri" w:hAnsi="Calibri" w:cs="Calibri"/>
          <w:sz w:val="22"/>
          <w:szCs w:val="22"/>
        </w:rPr>
        <w:t xml:space="preserve"> (</w:t>
      </w:r>
      <w:proofErr w:type="spellStart"/>
      <w:r w:rsidRPr="007A0B11">
        <w:rPr>
          <w:rFonts w:ascii="Calibri" w:hAnsi="Calibri" w:cs="Calibri"/>
          <w:sz w:val="22"/>
          <w:szCs w:val="22"/>
        </w:rPr>
        <w:t>EZB</w:t>
      </w:r>
      <w:proofErr w:type="spellEnd"/>
      <w:r w:rsidRPr="007A0B11">
        <w:rPr>
          <w:rFonts w:ascii="Calibri" w:hAnsi="Calibri" w:cs="Calibri"/>
          <w:sz w:val="22"/>
          <w:szCs w:val="22"/>
        </w:rPr>
        <w:t>)</w:t>
      </w:r>
      <w:r w:rsidR="000F5D53">
        <w:rPr>
          <w:rFonts w:ascii="Calibri" w:hAnsi="Calibri" w:cs="Calibri"/>
          <w:sz w:val="22"/>
          <w:szCs w:val="22"/>
        </w:rPr>
        <w:t xml:space="preserve">, </w:t>
      </w:r>
      <w:proofErr w:type="spellStart"/>
      <w:r w:rsidR="000F5D53">
        <w:rPr>
          <w:rFonts w:ascii="Calibri" w:hAnsi="Calibri" w:cs="Calibri"/>
          <w:sz w:val="22"/>
          <w:szCs w:val="22"/>
        </w:rPr>
        <w:t>wobei</w:t>
      </w:r>
      <w:proofErr w:type="spellEnd"/>
      <w:r w:rsidR="000F5D53">
        <w:rPr>
          <w:rFonts w:ascii="Calibri" w:hAnsi="Calibri" w:cs="Calibri"/>
          <w:sz w:val="22"/>
          <w:szCs w:val="22"/>
        </w:rPr>
        <w:t xml:space="preserve"> </w:t>
      </w:r>
      <w:proofErr w:type="spellStart"/>
      <w:r w:rsidR="000F5D53">
        <w:rPr>
          <w:rFonts w:ascii="Calibri" w:hAnsi="Calibri" w:cs="Calibri"/>
          <w:sz w:val="22"/>
          <w:szCs w:val="22"/>
        </w:rPr>
        <w:t>sie</w:t>
      </w:r>
      <w:proofErr w:type="spellEnd"/>
      <w:r w:rsidR="000F5D53">
        <w:rPr>
          <w:rFonts w:ascii="Calibri" w:hAnsi="Calibri" w:cs="Calibri"/>
          <w:sz w:val="22"/>
          <w:szCs w:val="22"/>
        </w:rPr>
        <w:t xml:space="preserve"> </w:t>
      </w:r>
      <w:r w:rsidR="00452ABA">
        <w:rPr>
          <w:rFonts w:ascii="Calibri" w:hAnsi="Calibri" w:cs="Calibri"/>
          <w:sz w:val="22"/>
          <w:szCs w:val="22"/>
        </w:rPr>
        <w:t>in der September-</w:t>
      </w:r>
      <w:proofErr w:type="spellStart"/>
      <w:r w:rsidR="00452ABA">
        <w:rPr>
          <w:rFonts w:ascii="Calibri" w:hAnsi="Calibri" w:cs="Calibri"/>
          <w:sz w:val="22"/>
          <w:szCs w:val="22"/>
        </w:rPr>
        <w:t>Sitzung</w:t>
      </w:r>
      <w:proofErr w:type="spellEnd"/>
      <w:r w:rsidR="00452ABA">
        <w:rPr>
          <w:rFonts w:ascii="Calibri" w:hAnsi="Calibri" w:cs="Calibri"/>
          <w:sz w:val="22"/>
          <w:szCs w:val="22"/>
        </w:rPr>
        <w:t xml:space="preserve"> </w:t>
      </w:r>
      <w:proofErr w:type="spellStart"/>
      <w:r w:rsidR="00452ABA">
        <w:rPr>
          <w:rFonts w:ascii="Calibri" w:hAnsi="Calibri" w:cs="Calibri"/>
          <w:sz w:val="22"/>
          <w:szCs w:val="22"/>
        </w:rPr>
        <w:t>stabil</w:t>
      </w:r>
      <w:proofErr w:type="spellEnd"/>
      <w:r w:rsidR="00452ABA">
        <w:rPr>
          <w:rFonts w:ascii="Calibri" w:hAnsi="Calibri" w:cs="Calibri"/>
          <w:sz w:val="22"/>
          <w:szCs w:val="22"/>
        </w:rPr>
        <w:t xml:space="preserve"> </w:t>
      </w:r>
      <w:proofErr w:type="spellStart"/>
      <w:r w:rsidR="00452ABA">
        <w:rPr>
          <w:rFonts w:ascii="Calibri" w:hAnsi="Calibri" w:cs="Calibri"/>
          <w:sz w:val="22"/>
          <w:szCs w:val="22"/>
        </w:rPr>
        <w:t>gehalten</w:t>
      </w:r>
      <w:proofErr w:type="spellEnd"/>
      <w:r w:rsidR="00452ABA">
        <w:rPr>
          <w:rFonts w:ascii="Calibri" w:hAnsi="Calibri" w:cs="Calibri"/>
          <w:sz w:val="22"/>
          <w:szCs w:val="22"/>
        </w:rPr>
        <w:t xml:space="preserve"> </w:t>
      </w:r>
      <w:proofErr w:type="spellStart"/>
      <w:r w:rsidR="00452ABA">
        <w:rPr>
          <w:rFonts w:ascii="Calibri" w:hAnsi="Calibri" w:cs="Calibri"/>
          <w:sz w:val="22"/>
          <w:szCs w:val="22"/>
        </w:rPr>
        <w:t>wurden</w:t>
      </w:r>
      <w:proofErr w:type="spellEnd"/>
      <w:r w:rsidR="00452ABA">
        <w:rPr>
          <w:rFonts w:ascii="Calibri" w:hAnsi="Calibri" w:cs="Calibri"/>
          <w:sz w:val="22"/>
          <w:szCs w:val="22"/>
        </w:rPr>
        <w:t>,</w:t>
      </w:r>
      <w:r w:rsidRPr="007A0B11">
        <w:rPr>
          <w:rFonts w:ascii="Calibri" w:hAnsi="Calibri" w:cs="Calibri"/>
          <w:sz w:val="22"/>
          <w:szCs w:val="22"/>
        </w:rPr>
        <w:t xml:space="preserve"> </w:t>
      </w:r>
      <w:proofErr w:type="spellStart"/>
      <w:r w:rsidRPr="007A0B11">
        <w:rPr>
          <w:rFonts w:ascii="Calibri" w:hAnsi="Calibri" w:cs="Calibri"/>
          <w:sz w:val="22"/>
          <w:szCs w:val="22"/>
        </w:rPr>
        <w:t>sind</w:t>
      </w:r>
      <w:proofErr w:type="spellEnd"/>
      <w:r w:rsidRPr="007A0B11">
        <w:rPr>
          <w:rFonts w:ascii="Calibri" w:hAnsi="Calibri" w:cs="Calibri"/>
          <w:sz w:val="22"/>
          <w:szCs w:val="22"/>
        </w:rPr>
        <w:t xml:space="preserve"> die </w:t>
      </w:r>
      <w:proofErr w:type="spellStart"/>
      <w:r w:rsidRPr="007A0B11">
        <w:rPr>
          <w:rFonts w:ascii="Calibri" w:hAnsi="Calibri" w:cs="Calibri"/>
          <w:sz w:val="22"/>
          <w:szCs w:val="22"/>
        </w:rPr>
        <w:t>Renditen</w:t>
      </w:r>
      <w:proofErr w:type="spellEnd"/>
      <w:r w:rsidRPr="007A0B11">
        <w:rPr>
          <w:rFonts w:ascii="Calibri" w:hAnsi="Calibri" w:cs="Calibri"/>
          <w:sz w:val="22"/>
          <w:szCs w:val="22"/>
        </w:rPr>
        <w:t xml:space="preserve"> kurzfristiger Anleihen weiter gesunken </w:t>
      </w:r>
      <w:r w:rsidR="00E20A68" w:rsidRPr="007A0B11">
        <w:rPr>
          <w:rFonts w:ascii="Calibri" w:hAnsi="Calibri" w:cs="Calibri"/>
          <w:sz w:val="22"/>
          <w:szCs w:val="22"/>
        </w:rPr>
        <w:t>und erscheinen deutlich weniger attraktiv als noch vor einem Jahr</w:t>
      </w:r>
      <w:r w:rsidRPr="007A0B11">
        <w:rPr>
          <w:rFonts w:ascii="Calibri" w:hAnsi="Calibri" w:cs="Calibri"/>
          <w:sz w:val="22"/>
          <w:szCs w:val="22"/>
        </w:rPr>
        <w:t xml:space="preserve">. </w:t>
      </w:r>
      <w:r w:rsidR="00F00A87" w:rsidRPr="00F00A87">
        <w:rPr>
          <w:rFonts w:ascii="Calibri" w:hAnsi="Calibri" w:cs="Calibri"/>
          <w:sz w:val="22"/>
          <w:szCs w:val="22"/>
        </w:rPr>
        <w:t xml:space="preserve">Die Jagd </w:t>
      </w:r>
      <w:proofErr w:type="spellStart"/>
      <w:r w:rsidR="00F00A87" w:rsidRPr="00F00A87">
        <w:rPr>
          <w:rFonts w:ascii="Calibri" w:hAnsi="Calibri" w:cs="Calibri"/>
          <w:sz w:val="22"/>
          <w:szCs w:val="22"/>
        </w:rPr>
        <w:t>nach</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Renditen</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im</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weiteren</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Verlauf</w:t>
      </w:r>
      <w:proofErr w:type="spellEnd"/>
      <w:r w:rsidR="00F00A87" w:rsidRPr="00F00A87">
        <w:rPr>
          <w:rFonts w:ascii="Calibri" w:hAnsi="Calibri" w:cs="Calibri"/>
          <w:sz w:val="22"/>
          <w:szCs w:val="22"/>
        </w:rPr>
        <w:t xml:space="preserve"> der </w:t>
      </w:r>
      <w:proofErr w:type="spellStart"/>
      <w:r w:rsidR="00F00A87" w:rsidRPr="00F00A87">
        <w:rPr>
          <w:rFonts w:ascii="Calibri" w:hAnsi="Calibri" w:cs="Calibri"/>
          <w:sz w:val="22"/>
          <w:szCs w:val="22"/>
        </w:rPr>
        <w:t>Kurve</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ist</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jedoch</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mit</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höheren</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Risiken</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verbunden</w:t>
      </w:r>
      <w:proofErr w:type="spellEnd"/>
      <w:r w:rsidR="00F00A87" w:rsidRPr="00F00A87">
        <w:rPr>
          <w:rFonts w:ascii="Calibri" w:hAnsi="Calibri" w:cs="Calibri"/>
          <w:sz w:val="22"/>
          <w:szCs w:val="22"/>
        </w:rPr>
        <w:t xml:space="preserve"> – </w:t>
      </w:r>
      <w:proofErr w:type="spellStart"/>
      <w:r w:rsidR="00F00A87" w:rsidRPr="00F00A87">
        <w:rPr>
          <w:rFonts w:ascii="Calibri" w:hAnsi="Calibri" w:cs="Calibri"/>
          <w:sz w:val="22"/>
          <w:szCs w:val="22"/>
        </w:rPr>
        <w:t>wie</w:t>
      </w:r>
      <w:proofErr w:type="spellEnd"/>
      <w:r w:rsidR="00F00A87" w:rsidRPr="00F00A87">
        <w:rPr>
          <w:rFonts w:ascii="Calibri" w:hAnsi="Calibri" w:cs="Calibri"/>
          <w:sz w:val="22"/>
          <w:szCs w:val="22"/>
        </w:rPr>
        <w:t xml:space="preserve"> die </w:t>
      </w:r>
      <w:proofErr w:type="spellStart"/>
      <w:r w:rsidR="00F00A87" w:rsidRPr="00F00A87">
        <w:rPr>
          <w:rFonts w:ascii="Calibri" w:hAnsi="Calibri" w:cs="Calibri"/>
          <w:sz w:val="22"/>
          <w:szCs w:val="22"/>
        </w:rPr>
        <w:t>aufgrund</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fiskalischer</w:t>
      </w:r>
      <w:proofErr w:type="spellEnd"/>
      <w:r w:rsidR="00F00A87" w:rsidRPr="00F00A87">
        <w:rPr>
          <w:rFonts w:ascii="Calibri" w:hAnsi="Calibri" w:cs="Calibri"/>
          <w:sz w:val="22"/>
          <w:szCs w:val="22"/>
        </w:rPr>
        <w:t xml:space="preserve"> und </w:t>
      </w:r>
      <w:proofErr w:type="spellStart"/>
      <w:r w:rsidR="00F00A87" w:rsidRPr="00F00A87">
        <w:rPr>
          <w:rFonts w:ascii="Calibri" w:hAnsi="Calibri" w:cs="Calibri"/>
          <w:sz w:val="22"/>
          <w:szCs w:val="22"/>
        </w:rPr>
        <w:t>politischer</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Unsicherheiten</w:t>
      </w:r>
      <w:proofErr w:type="spellEnd"/>
      <w:r w:rsidR="00F00A87" w:rsidRPr="00F00A87">
        <w:rPr>
          <w:rFonts w:ascii="Calibri" w:hAnsi="Calibri" w:cs="Calibri"/>
          <w:sz w:val="22"/>
          <w:szCs w:val="22"/>
        </w:rPr>
        <w:t xml:space="preserve"> stark </w:t>
      </w:r>
      <w:proofErr w:type="spellStart"/>
      <w:r w:rsidR="00F00A87" w:rsidRPr="00F00A87">
        <w:rPr>
          <w:rFonts w:ascii="Calibri" w:hAnsi="Calibri" w:cs="Calibri"/>
          <w:sz w:val="22"/>
          <w:szCs w:val="22"/>
        </w:rPr>
        <w:t>gestiegenen</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langfristigen</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Renditen</w:t>
      </w:r>
      <w:proofErr w:type="spellEnd"/>
      <w:r w:rsidR="00F00A87" w:rsidRPr="00F00A87">
        <w:rPr>
          <w:rFonts w:ascii="Calibri" w:hAnsi="Calibri" w:cs="Calibri"/>
          <w:sz w:val="22"/>
          <w:szCs w:val="22"/>
        </w:rPr>
        <w:t xml:space="preserve"> in </w:t>
      </w:r>
      <w:proofErr w:type="spellStart"/>
      <w:r w:rsidR="00F00A87" w:rsidRPr="00F00A87">
        <w:rPr>
          <w:rFonts w:ascii="Calibri" w:hAnsi="Calibri" w:cs="Calibri"/>
          <w:sz w:val="22"/>
          <w:szCs w:val="22"/>
        </w:rPr>
        <w:t>Frankreich</w:t>
      </w:r>
      <w:proofErr w:type="spellEnd"/>
      <w:r w:rsidR="00F00A87" w:rsidRPr="00F00A87">
        <w:rPr>
          <w:rFonts w:ascii="Calibri" w:hAnsi="Calibri" w:cs="Calibri"/>
          <w:sz w:val="22"/>
          <w:szCs w:val="22"/>
        </w:rPr>
        <w:t xml:space="preserve"> und </w:t>
      </w:r>
      <w:proofErr w:type="spellStart"/>
      <w:r w:rsidR="00F00A87" w:rsidRPr="00F00A87">
        <w:rPr>
          <w:rFonts w:ascii="Calibri" w:hAnsi="Calibri" w:cs="Calibri"/>
          <w:sz w:val="22"/>
          <w:szCs w:val="22"/>
        </w:rPr>
        <w:t>Großbritannien</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eindrucksvoll</w:t>
      </w:r>
      <w:proofErr w:type="spellEnd"/>
      <w:r w:rsidR="00F00A87" w:rsidRPr="00F00A87">
        <w:rPr>
          <w:rFonts w:ascii="Calibri" w:hAnsi="Calibri" w:cs="Calibri"/>
          <w:sz w:val="22"/>
          <w:szCs w:val="22"/>
        </w:rPr>
        <w:t xml:space="preserve"> </w:t>
      </w:r>
      <w:proofErr w:type="spellStart"/>
      <w:r w:rsidR="00F00A87" w:rsidRPr="00F00A87">
        <w:rPr>
          <w:rFonts w:ascii="Calibri" w:hAnsi="Calibri" w:cs="Calibri"/>
          <w:sz w:val="22"/>
          <w:szCs w:val="22"/>
        </w:rPr>
        <w:t>zeigen</w:t>
      </w:r>
      <w:proofErr w:type="spellEnd"/>
      <w:r w:rsidR="007132EB" w:rsidRPr="007A0B11">
        <w:rPr>
          <w:rFonts w:ascii="Calibri" w:hAnsi="Calibri" w:cs="Calibri"/>
          <w:sz w:val="22"/>
          <w:szCs w:val="22"/>
        </w:rPr>
        <w:t xml:space="preserve">. Infolgedessen bleiben Anleihen und Bargeld zwar wichtige Bestandteile </w:t>
      </w:r>
      <w:r w:rsidR="00E20A68" w:rsidRPr="007A0B11">
        <w:rPr>
          <w:rFonts w:ascii="Calibri" w:hAnsi="Calibri" w:cs="Calibri"/>
          <w:sz w:val="22"/>
          <w:szCs w:val="22"/>
        </w:rPr>
        <w:t xml:space="preserve">diversifizierter </w:t>
      </w:r>
      <w:r w:rsidR="007132EB" w:rsidRPr="007A0B11">
        <w:rPr>
          <w:rFonts w:ascii="Calibri" w:hAnsi="Calibri" w:cs="Calibri"/>
          <w:sz w:val="22"/>
          <w:szCs w:val="22"/>
        </w:rPr>
        <w:t xml:space="preserve">Portfolios, ihre Rolle als </w:t>
      </w:r>
      <w:r w:rsidR="00E20A68" w:rsidRPr="007A0B11">
        <w:rPr>
          <w:rFonts w:ascii="Calibri" w:hAnsi="Calibri" w:cs="Calibri"/>
          <w:sz w:val="22"/>
          <w:szCs w:val="22"/>
        </w:rPr>
        <w:t xml:space="preserve">nahezu ausschließliche </w:t>
      </w:r>
      <w:r w:rsidR="007132EB" w:rsidRPr="007A0B11">
        <w:rPr>
          <w:rFonts w:ascii="Calibri" w:hAnsi="Calibri" w:cs="Calibri"/>
          <w:sz w:val="22"/>
          <w:szCs w:val="22"/>
        </w:rPr>
        <w:t xml:space="preserve">Einkommensquellen hat jedoch an Bedeutung verloren. </w:t>
      </w:r>
      <w:r w:rsidR="00E20A68" w:rsidRPr="007A0B11">
        <w:rPr>
          <w:rFonts w:ascii="Calibri" w:hAnsi="Calibri" w:cs="Calibri"/>
          <w:sz w:val="22"/>
          <w:szCs w:val="22"/>
        </w:rPr>
        <w:t xml:space="preserve">Und natürlich bieten festverzinsliche Instrumente nur begrenzte oder manchmal gar keine Kapitalgewinnchancen. </w:t>
      </w:r>
    </w:p>
    <w:p w14:paraId="06E44D0F" w14:textId="44449852" w:rsidR="001A3DAC" w:rsidRPr="007A0B11" w:rsidRDefault="000921AF" w:rsidP="00E97A2A">
      <w:pPr>
        <w:pStyle w:val="StandardWeb"/>
        <w:ind w:right="543"/>
        <w:jc w:val="both"/>
        <w:rPr>
          <w:rFonts w:ascii="Calibri" w:hAnsi="Calibri" w:cs="Calibri"/>
          <w:sz w:val="22"/>
          <w:szCs w:val="22"/>
        </w:rPr>
      </w:pPr>
      <w:proofErr w:type="spellStart"/>
      <w:r>
        <w:rPr>
          <w:rFonts w:ascii="Calibri" w:hAnsi="Calibri" w:cs="Calibri"/>
          <w:sz w:val="22"/>
          <w:szCs w:val="22"/>
        </w:rPr>
        <w:t>Dagegen</w:t>
      </w:r>
      <w:proofErr w:type="spellEnd"/>
      <w:r w:rsidR="00823DF6" w:rsidRPr="007A0B11">
        <w:rPr>
          <w:rFonts w:ascii="Calibri" w:hAnsi="Calibri" w:cs="Calibri"/>
          <w:sz w:val="22"/>
          <w:szCs w:val="22"/>
        </w:rPr>
        <w:t xml:space="preserve"> </w:t>
      </w:r>
      <w:proofErr w:type="spellStart"/>
      <w:r w:rsidR="00E20A68" w:rsidRPr="007A0B11">
        <w:rPr>
          <w:rFonts w:ascii="Calibri" w:hAnsi="Calibri" w:cs="Calibri"/>
          <w:sz w:val="22"/>
          <w:szCs w:val="22"/>
        </w:rPr>
        <w:t>erleben</w:t>
      </w:r>
      <w:proofErr w:type="spellEnd"/>
      <w:r w:rsidR="00E20A68" w:rsidRPr="007A0B11">
        <w:rPr>
          <w:rFonts w:ascii="Calibri" w:hAnsi="Calibri" w:cs="Calibri"/>
          <w:sz w:val="22"/>
          <w:szCs w:val="22"/>
        </w:rPr>
        <w:t xml:space="preserve"> </w:t>
      </w:r>
      <w:proofErr w:type="spellStart"/>
      <w:r w:rsidR="00E20A68" w:rsidRPr="007A0B11">
        <w:rPr>
          <w:rFonts w:ascii="Calibri" w:hAnsi="Calibri" w:cs="Calibri"/>
          <w:sz w:val="22"/>
          <w:szCs w:val="22"/>
        </w:rPr>
        <w:t>Dividendenaktien</w:t>
      </w:r>
      <w:proofErr w:type="spellEnd"/>
      <w:r w:rsidR="00E20A68" w:rsidRPr="007A0B11">
        <w:rPr>
          <w:rFonts w:ascii="Calibri" w:hAnsi="Calibri" w:cs="Calibri"/>
          <w:sz w:val="22"/>
          <w:szCs w:val="22"/>
        </w:rPr>
        <w:t xml:space="preserve"> in Europa eine gewisse Renaissance. </w:t>
      </w:r>
      <w:r w:rsidR="00823DF6" w:rsidRPr="007A0B11">
        <w:rPr>
          <w:rFonts w:ascii="Calibri" w:hAnsi="Calibri" w:cs="Calibri"/>
          <w:sz w:val="22"/>
          <w:szCs w:val="22"/>
        </w:rPr>
        <w:t xml:space="preserve">Das 500 Milliarden Euro schwere Infrastrukturpaket Deutschlands signalisiert eine erhebliche </w:t>
      </w:r>
      <w:proofErr w:type="spellStart"/>
      <w:r w:rsidR="00823DF6" w:rsidRPr="007A0B11">
        <w:rPr>
          <w:rFonts w:ascii="Calibri" w:hAnsi="Calibri" w:cs="Calibri"/>
          <w:sz w:val="22"/>
          <w:szCs w:val="22"/>
        </w:rPr>
        <w:t>fiskalische</w:t>
      </w:r>
      <w:proofErr w:type="spellEnd"/>
      <w:r w:rsidR="00823DF6" w:rsidRPr="007A0B11">
        <w:rPr>
          <w:rFonts w:ascii="Calibri" w:hAnsi="Calibri" w:cs="Calibri"/>
          <w:sz w:val="22"/>
          <w:szCs w:val="22"/>
        </w:rPr>
        <w:t xml:space="preserve"> Expansion</w:t>
      </w:r>
      <w:r w:rsidR="00823DF6" w:rsidRPr="007A0B11">
        <w:rPr>
          <w:rStyle w:val="Endnotenzeichen"/>
          <w:rFonts w:ascii="Calibri" w:hAnsi="Calibri" w:cs="Calibri"/>
          <w:sz w:val="22"/>
          <w:szCs w:val="22"/>
        </w:rPr>
        <w:endnoteReference w:id="1"/>
      </w:r>
      <w:r w:rsidR="00823DF6" w:rsidRPr="007A0B11">
        <w:rPr>
          <w:rFonts w:ascii="Calibri" w:hAnsi="Calibri" w:cs="Calibri"/>
          <w:sz w:val="22"/>
          <w:szCs w:val="22"/>
        </w:rPr>
        <w:t xml:space="preserve"> , </w:t>
      </w:r>
      <w:proofErr w:type="spellStart"/>
      <w:r w:rsidR="000E5D95">
        <w:rPr>
          <w:rFonts w:ascii="Calibri" w:hAnsi="Calibri" w:cs="Calibri"/>
          <w:sz w:val="22"/>
          <w:szCs w:val="22"/>
        </w:rPr>
        <w:t>welche</w:t>
      </w:r>
      <w:proofErr w:type="spellEnd"/>
      <w:r w:rsidR="00823DF6" w:rsidRPr="007A0B11">
        <w:rPr>
          <w:rFonts w:ascii="Calibri" w:hAnsi="Calibri" w:cs="Calibri"/>
          <w:sz w:val="22"/>
          <w:szCs w:val="22"/>
        </w:rPr>
        <w:t xml:space="preserve"> die </w:t>
      </w:r>
      <w:proofErr w:type="spellStart"/>
      <w:r w:rsidR="00823DF6" w:rsidRPr="007A0B11">
        <w:rPr>
          <w:rFonts w:ascii="Calibri" w:hAnsi="Calibri" w:cs="Calibri"/>
          <w:sz w:val="22"/>
          <w:szCs w:val="22"/>
        </w:rPr>
        <w:t>Investitionslandschaft</w:t>
      </w:r>
      <w:proofErr w:type="spellEnd"/>
      <w:r w:rsidR="00823DF6" w:rsidRPr="007A0B11">
        <w:rPr>
          <w:rFonts w:ascii="Calibri" w:hAnsi="Calibri" w:cs="Calibri"/>
          <w:sz w:val="22"/>
          <w:szCs w:val="22"/>
        </w:rPr>
        <w:t xml:space="preserve"> </w:t>
      </w:r>
      <w:r w:rsidR="00E20A68" w:rsidRPr="007A0B11">
        <w:rPr>
          <w:rFonts w:ascii="Calibri" w:hAnsi="Calibri" w:cs="Calibri"/>
          <w:sz w:val="22"/>
          <w:szCs w:val="22"/>
        </w:rPr>
        <w:t xml:space="preserve">für die kommenden Jahre </w:t>
      </w:r>
      <w:r w:rsidR="00823DF6" w:rsidRPr="007A0B11">
        <w:rPr>
          <w:rFonts w:ascii="Calibri" w:hAnsi="Calibri" w:cs="Calibri"/>
          <w:sz w:val="22"/>
          <w:szCs w:val="22"/>
        </w:rPr>
        <w:t>neu gestalten</w:t>
      </w:r>
      <w:r w:rsidR="00E20A68" w:rsidRPr="007A0B11">
        <w:rPr>
          <w:rFonts w:ascii="Calibri" w:hAnsi="Calibri" w:cs="Calibri"/>
          <w:sz w:val="22"/>
          <w:szCs w:val="22"/>
        </w:rPr>
        <w:t xml:space="preserve"> wird</w:t>
      </w:r>
      <w:r w:rsidR="00823DF6" w:rsidRPr="007A0B11">
        <w:rPr>
          <w:rFonts w:ascii="Calibri" w:hAnsi="Calibri" w:cs="Calibri"/>
          <w:sz w:val="22"/>
          <w:szCs w:val="22"/>
        </w:rPr>
        <w:t xml:space="preserve">. Diese Veränderung </w:t>
      </w:r>
      <w:r w:rsidR="001A3DAC" w:rsidRPr="007A0B11">
        <w:rPr>
          <w:rFonts w:ascii="Calibri" w:hAnsi="Calibri" w:cs="Calibri"/>
          <w:sz w:val="22"/>
          <w:szCs w:val="22"/>
        </w:rPr>
        <w:t>veranlasst viele Anleger, sich erneut mit Aktien zu befassen</w:t>
      </w:r>
      <w:r w:rsidR="0037464B" w:rsidRPr="007A0B11">
        <w:rPr>
          <w:rFonts w:ascii="Calibri" w:hAnsi="Calibri" w:cs="Calibri"/>
          <w:sz w:val="22"/>
          <w:szCs w:val="22"/>
        </w:rPr>
        <w:t xml:space="preserve">, um sowohl Wachstum als auch Erträge zu erzielen. </w:t>
      </w:r>
      <w:r w:rsidR="007132EB" w:rsidRPr="007A0B11">
        <w:rPr>
          <w:rFonts w:ascii="Calibri" w:hAnsi="Calibri" w:cs="Calibri"/>
          <w:sz w:val="22"/>
          <w:szCs w:val="22"/>
        </w:rPr>
        <w:t xml:space="preserve">Dividenden </w:t>
      </w:r>
      <w:r w:rsidR="001A3DAC" w:rsidRPr="007A0B11">
        <w:rPr>
          <w:rFonts w:ascii="Calibri" w:hAnsi="Calibri" w:cs="Calibri"/>
          <w:sz w:val="22"/>
          <w:szCs w:val="22"/>
        </w:rPr>
        <w:t xml:space="preserve">spielen seit langem eine zentrale Rolle für die Entwicklung europäischer Aktien. In den letzten 20 Jahren </w:t>
      </w:r>
      <w:r w:rsidR="001A3DAC" w:rsidRPr="007A0B11">
        <w:rPr>
          <w:rStyle w:val="Fett"/>
          <w:rFonts w:ascii="Calibri" w:eastAsiaTheme="majorEastAsia" w:hAnsi="Calibri" w:cs="Calibri"/>
          <w:b w:val="0"/>
          <w:bCs w:val="0"/>
          <w:sz w:val="22"/>
          <w:szCs w:val="22"/>
        </w:rPr>
        <w:t xml:space="preserve">stammten </w:t>
      </w:r>
      <w:r w:rsidR="001E6A9D" w:rsidRPr="007A0B11">
        <w:rPr>
          <w:rFonts w:ascii="Calibri" w:hAnsi="Calibri" w:cs="Calibri"/>
          <w:sz w:val="22"/>
          <w:szCs w:val="22"/>
        </w:rPr>
        <w:t>über</w:t>
      </w:r>
      <w:r w:rsidR="001E6A9D" w:rsidRPr="007A0B11">
        <w:rPr>
          <w:rStyle w:val="Fett"/>
          <w:rFonts w:ascii="Calibri" w:eastAsiaTheme="majorEastAsia" w:hAnsi="Calibri" w:cs="Calibri"/>
          <w:b w:val="0"/>
          <w:bCs w:val="0"/>
          <w:sz w:val="22"/>
          <w:szCs w:val="22"/>
        </w:rPr>
        <w:t xml:space="preserve"> 40 % </w:t>
      </w:r>
      <w:r w:rsidR="001A3DAC" w:rsidRPr="007A0B11">
        <w:rPr>
          <w:rStyle w:val="Fett"/>
          <w:rFonts w:ascii="Calibri" w:eastAsiaTheme="majorEastAsia" w:hAnsi="Calibri" w:cs="Calibri"/>
          <w:b w:val="0"/>
          <w:bCs w:val="0"/>
          <w:sz w:val="22"/>
          <w:szCs w:val="22"/>
        </w:rPr>
        <w:t>der Gesamtrendite europäischer Aktien aus Dividenden.</w:t>
      </w:r>
      <w:r w:rsidR="00704974" w:rsidRPr="007A0B11">
        <w:rPr>
          <w:rStyle w:val="Endnotenzeichen"/>
          <w:rFonts w:ascii="Calibri" w:hAnsi="Calibri" w:cs="Calibri"/>
          <w:b/>
          <w:sz w:val="22"/>
          <w:szCs w:val="22"/>
        </w:rPr>
        <w:endnoteReference w:id="2"/>
      </w:r>
      <w:r w:rsidR="001A3DAC" w:rsidRPr="007A0B11">
        <w:rPr>
          <w:rFonts w:ascii="Calibri" w:hAnsi="Calibri" w:cs="Calibri"/>
          <w:sz w:val="22"/>
          <w:szCs w:val="22"/>
        </w:rPr>
        <w:t xml:space="preserve"> Dies ist kein marginaler Beitrag, sondern ein strukturelles Merkmal des Marktes, das die anhaltende Bedeutung von Dividenden als stabilisierendes Element der Renditen unterstreicht.</w:t>
      </w:r>
    </w:p>
    <w:p w14:paraId="0D1A1051" w14:textId="08964ED1" w:rsidR="001615F5" w:rsidRPr="007A0B11" w:rsidRDefault="001A3DAC" w:rsidP="00E97A2A">
      <w:pPr>
        <w:pStyle w:val="StandardWeb"/>
        <w:ind w:right="543"/>
        <w:jc w:val="both"/>
        <w:rPr>
          <w:rFonts w:ascii="Calibri" w:hAnsi="Calibri" w:cs="Calibri"/>
          <w:sz w:val="22"/>
          <w:szCs w:val="22"/>
        </w:rPr>
      </w:pPr>
      <w:r w:rsidRPr="007A0B11">
        <w:rPr>
          <w:rFonts w:ascii="Calibri" w:hAnsi="Calibri" w:cs="Calibri"/>
          <w:sz w:val="22"/>
          <w:szCs w:val="22"/>
        </w:rPr>
        <w:t xml:space="preserve">Die europäischen Dividendenrenditen liegen derzeit über den Anleiherenditen und Bargeldzinsen, was zu einer Ertragsdifferenz führt, die für langfristige Anleger attraktiv sein könnte. </w:t>
      </w:r>
      <w:r w:rsidR="00725E57" w:rsidRPr="007A0B11">
        <w:rPr>
          <w:rFonts w:ascii="Calibri" w:hAnsi="Calibri" w:cs="Calibri"/>
          <w:sz w:val="22"/>
          <w:szCs w:val="22"/>
        </w:rPr>
        <w:t>Der sich vergrößernde Spread hat den Fokus erneut auf Dividendenstrategien als Ergänzung zu traditionellen festverzinslichen Wertpapieren gelenkt.</w:t>
      </w:r>
    </w:p>
    <w:p w14:paraId="07F3C6A3" w14:textId="0ADC58E8" w:rsidR="007A05FC" w:rsidRPr="007A0B11" w:rsidRDefault="001615F5" w:rsidP="00E97A2A">
      <w:pPr>
        <w:pStyle w:val="StandardWeb"/>
        <w:ind w:right="543"/>
        <w:jc w:val="both"/>
        <w:rPr>
          <w:rFonts w:ascii="Calibri" w:hAnsi="Calibri" w:cs="Calibri"/>
          <w:sz w:val="22"/>
          <w:szCs w:val="22"/>
        </w:rPr>
      </w:pPr>
      <w:r w:rsidRPr="007A0B11">
        <w:rPr>
          <w:rFonts w:ascii="Calibri" w:hAnsi="Calibri" w:cs="Calibri"/>
          <w:noProof/>
          <w:sz w:val="22"/>
          <w:szCs w:val="22"/>
        </w:rPr>
        <w:drawing>
          <wp:inline distT="0" distB="0" distL="0" distR="0" wp14:anchorId="46CAF3AA" wp14:editId="3ED6A8DD">
            <wp:extent cx="3716121" cy="1958798"/>
            <wp:effectExtent l="0" t="0" r="5080" b="0"/>
            <wp:docPr id="203748002" name="Chart 1">
              <a:extLst xmlns:a="http://schemas.openxmlformats.org/drawingml/2006/main">
                <a:ext uri="{FF2B5EF4-FFF2-40B4-BE49-F238E27FC236}">
                  <a16:creationId xmlns:a16="http://schemas.microsoft.com/office/drawing/2014/main" id="{DB5E2329-A080-751B-BF04-A12178FCA5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314677" w14:textId="6813F957" w:rsidR="001A3DAC" w:rsidRPr="005B3AE9" w:rsidRDefault="007A05FC" w:rsidP="00E97A2A">
      <w:pPr>
        <w:pStyle w:val="StandardWeb"/>
        <w:ind w:right="543"/>
        <w:jc w:val="both"/>
        <w:rPr>
          <w:rFonts w:ascii="Calibri" w:hAnsi="Calibri" w:cs="Calibri"/>
          <w:sz w:val="16"/>
          <w:szCs w:val="16"/>
        </w:rPr>
      </w:pPr>
      <w:r w:rsidRPr="005B3AE9">
        <w:rPr>
          <w:rFonts w:ascii="Calibri" w:hAnsi="Calibri" w:cs="Calibri"/>
          <w:sz w:val="16"/>
          <w:szCs w:val="16"/>
        </w:rPr>
        <w:t>Quelle: Bloomberg, 25. August 2025; europäische Aktien werden durch den MSCI Europe Index repräsentiert, europäische Anleihen durch den Bloomberg Euro Aggregate Index und Bargeld durch den EURIBOR 1 Month.</w:t>
      </w:r>
    </w:p>
    <w:p w14:paraId="1D690060" w14:textId="77777777" w:rsidR="001A3DAC" w:rsidRPr="008E2155" w:rsidRDefault="001A3DAC" w:rsidP="00E97A2A">
      <w:pPr>
        <w:pStyle w:val="berschrift5"/>
        <w:spacing w:before="0" w:after="0"/>
        <w:ind w:right="543"/>
        <w:jc w:val="both"/>
        <w:rPr>
          <w:rFonts w:ascii="Calibri" w:hAnsi="Calibri" w:cs="Calibri"/>
          <w:b/>
          <w:bCs/>
          <w:color w:val="000000" w:themeColor="text1"/>
          <w:sz w:val="22"/>
          <w:szCs w:val="22"/>
        </w:rPr>
      </w:pPr>
      <w:r w:rsidRPr="008E2155">
        <w:rPr>
          <w:rFonts w:ascii="Calibri" w:hAnsi="Calibri" w:cs="Calibri"/>
          <w:b/>
          <w:bCs/>
          <w:color w:val="000000" w:themeColor="text1"/>
          <w:sz w:val="22"/>
          <w:szCs w:val="22"/>
        </w:rPr>
        <w:t>Die Stärke der europäischen Dividendenkultur</w:t>
      </w:r>
    </w:p>
    <w:p w14:paraId="777F41BB" w14:textId="09660092" w:rsidR="00AD5CAF" w:rsidRPr="007A0B11" w:rsidRDefault="00AD5CAF" w:rsidP="00E97A2A">
      <w:pPr>
        <w:pStyle w:val="StandardWeb"/>
        <w:spacing w:before="0" w:beforeAutospacing="0" w:after="0" w:afterAutospacing="0"/>
        <w:ind w:right="543"/>
        <w:jc w:val="both"/>
        <w:rPr>
          <w:rFonts w:ascii="Calibri" w:hAnsi="Calibri" w:cs="Calibri"/>
          <w:sz w:val="22"/>
          <w:szCs w:val="22"/>
        </w:rPr>
      </w:pPr>
      <w:r w:rsidRPr="007A0B11">
        <w:rPr>
          <w:rFonts w:ascii="Calibri" w:hAnsi="Calibri" w:cs="Calibri"/>
          <w:sz w:val="22"/>
          <w:szCs w:val="22"/>
        </w:rPr>
        <w:t xml:space="preserve">Dividenden sind bei europäischen Aktien keine Nebensache – sie spielen eine zentrale Rolle dabei, wie Unternehmen Wert an ihre Aktionäre zurückgeben. Mit einer </w:t>
      </w:r>
      <w:r w:rsidR="00106F51" w:rsidRPr="007A0B11">
        <w:rPr>
          <w:rFonts w:ascii="Calibri" w:hAnsi="Calibri" w:cs="Calibri"/>
          <w:sz w:val="22"/>
          <w:szCs w:val="22"/>
        </w:rPr>
        <w:t xml:space="preserve">langfristigen </w:t>
      </w:r>
      <w:r w:rsidRPr="007A0B11">
        <w:rPr>
          <w:rFonts w:ascii="Calibri" w:hAnsi="Calibri" w:cs="Calibri"/>
          <w:sz w:val="22"/>
          <w:szCs w:val="22"/>
        </w:rPr>
        <w:t>durchschnittlichen Ausschüttungsquote von 68 % im Vergleich zu 43 % in den USA und 37 % in Japan</w:t>
      </w:r>
      <w:r w:rsidR="00704974" w:rsidRPr="007A0B11">
        <w:rPr>
          <w:rStyle w:val="Endnotenzeichen"/>
          <w:rFonts w:ascii="Calibri" w:hAnsi="Calibri" w:cs="Calibri"/>
          <w:sz w:val="22"/>
          <w:szCs w:val="22"/>
        </w:rPr>
        <w:endnoteReference w:id="3"/>
      </w:r>
      <w:r w:rsidRPr="007A0B11">
        <w:rPr>
          <w:rFonts w:ascii="Calibri" w:hAnsi="Calibri" w:cs="Calibri"/>
          <w:sz w:val="22"/>
          <w:szCs w:val="22"/>
        </w:rPr>
        <w:t xml:space="preserve"> hebt sich Europa weiterhin als eine Region ab, in der Dividenden fest in der Unternehmenspraxis verankert sind. </w:t>
      </w:r>
    </w:p>
    <w:p w14:paraId="0FA35442" w14:textId="2F0490ED" w:rsidR="006E0577" w:rsidRDefault="006E0577" w:rsidP="00E97A2A">
      <w:pPr>
        <w:pStyle w:val="StandardWeb"/>
        <w:ind w:right="543"/>
        <w:jc w:val="both"/>
        <w:rPr>
          <w:rFonts w:ascii="Calibri" w:hAnsi="Calibri" w:cs="Calibri"/>
          <w:sz w:val="22"/>
          <w:szCs w:val="22"/>
        </w:rPr>
      </w:pPr>
      <w:r w:rsidRPr="007A0B11">
        <w:rPr>
          <w:rFonts w:ascii="Calibri" w:hAnsi="Calibri" w:cs="Calibri"/>
          <w:sz w:val="22"/>
          <w:szCs w:val="22"/>
        </w:rPr>
        <w:t>Dieses Engagement zeigt sich in einer Vielzahl von Sektoren. Neben Bereichen wie Energie und Versorger gehören Finanzwerte zu den wichtigsten Beitragszahlern. Mit einer aggregierten Kernkapitalquote von rund 16 %</w:t>
      </w:r>
      <w:r w:rsidR="00B318B0" w:rsidRPr="007A0B11">
        <w:rPr>
          <w:rStyle w:val="Endnotenzeichen"/>
          <w:rFonts w:ascii="Calibri" w:hAnsi="Calibri" w:cs="Calibri"/>
          <w:sz w:val="22"/>
          <w:szCs w:val="22"/>
        </w:rPr>
        <w:endnoteReference w:id="4"/>
      </w:r>
      <w:r w:rsidRPr="007A0B11">
        <w:rPr>
          <w:rFonts w:ascii="Calibri" w:hAnsi="Calibri" w:cs="Calibri"/>
          <w:sz w:val="22"/>
          <w:szCs w:val="22"/>
        </w:rPr>
        <w:t xml:space="preserve"> verfügen europäische Banken über starke Kapitalpuffer. Dies </w:t>
      </w:r>
      <w:r w:rsidR="001E6A9D" w:rsidRPr="007A0B11">
        <w:rPr>
          <w:rFonts w:ascii="Calibri" w:hAnsi="Calibri" w:cs="Calibri"/>
          <w:sz w:val="22"/>
          <w:szCs w:val="22"/>
        </w:rPr>
        <w:t xml:space="preserve">gibt ihnen ausreichend </w:t>
      </w:r>
      <w:r w:rsidRPr="007A0B11">
        <w:rPr>
          <w:rFonts w:ascii="Calibri" w:hAnsi="Calibri" w:cs="Calibri"/>
          <w:sz w:val="22"/>
          <w:szCs w:val="22"/>
        </w:rPr>
        <w:t xml:space="preserve">Flexibilität, um einen Teil ihrer Gewinne in Form von Dividenden an die Aktionäre zurückzugeben, vorbehaltlich </w:t>
      </w:r>
      <w:proofErr w:type="spellStart"/>
      <w:r w:rsidRPr="007A0B11">
        <w:rPr>
          <w:rFonts w:ascii="Calibri" w:hAnsi="Calibri" w:cs="Calibri"/>
          <w:sz w:val="22"/>
          <w:szCs w:val="22"/>
        </w:rPr>
        <w:t>regulatorischer</w:t>
      </w:r>
      <w:proofErr w:type="spellEnd"/>
      <w:r w:rsidRPr="007A0B11">
        <w:rPr>
          <w:rFonts w:ascii="Calibri" w:hAnsi="Calibri" w:cs="Calibri"/>
          <w:sz w:val="22"/>
          <w:szCs w:val="22"/>
        </w:rPr>
        <w:t xml:space="preserve"> und </w:t>
      </w:r>
      <w:proofErr w:type="spellStart"/>
      <w:r w:rsidRPr="007A0B11">
        <w:rPr>
          <w:rFonts w:ascii="Calibri" w:hAnsi="Calibri" w:cs="Calibri"/>
          <w:sz w:val="22"/>
          <w:szCs w:val="22"/>
        </w:rPr>
        <w:t>unternehmensspezifischer</w:t>
      </w:r>
      <w:proofErr w:type="spellEnd"/>
      <w:r w:rsidRPr="007A0B11">
        <w:rPr>
          <w:rFonts w:ascii="Calibri" w:hAnsi="Calibri" w:cs="Calibri"/>
          <w:sz w:val="22"/>
          <w:szCs w:val="22"/>
        </w:rPr>
        <w:t xml:space="preserve"> </w:t>
      </w:r>
      <w:proofErr w:type="spellStart"/>
      <w:r w:rsidRPr="007A0B11">
        <w:rPr>
          <w:rFonts w:ascii="Calibri" w:hAnsi="Calibri" w:cs="Calibri"/>
          <w:sz w:val="22"/>
          <w:szCs w:val="22"/>
        </w:rPr>
        <w:t>Erwägungen</w:t>
      </w:r>
      <w:proofErr w:type="spellEnd"/>
      <w:r w:rsidRPr="007A0B11">
        <w:rPr>
          <w:rFonts w:ascii="Calibri" w:hAnsi="Calibri" w:cs="Calibri"/>
          <w:sz w:val="22"/>
          <w:szCs w:val="22"/>
        </w:rPr>
        <w:t>.</w:t>
      </w:r>
    </w:p>
    <w:p w14:paraId="42320358" w14:textId="77777777" w:rsidR="005A1EB7" w:rsidRPr="007A0B11" w:rsidRDefault="005A1EB7" w:rsidP="00E97A2A">
      <w:pPr>
        <w:pStyle w:val="StandardWeb"/>
        <w:ind w:right="543"/>
        <w:jc w:val="both"/>
        <w:rPr>
          <w:rFonts w:ascii="Calibri" w:hAnsi="Calibri" w:cs="Calibri"/>
          <w:sz w:val="22"/>
          <w:szCs w:val="22"/>
        </w:rPr>
      </w:pPr>
    </w:p>
    <w:p w14:paraId="410403D9" w14:textId="67856100" w:rsidR="001A3DAC" w:rsidRPr="007A0B11" w:rsidRDefault="00725E57" w:rsidP="00E97A2A">
      <w:pPr>
        <w:pStyle w:val="StandardWeb"/>
        <w:ind w:right="543"/>
        <w:jc w:val="both"/>
        <w:rPr>
          <w:rFonts w:ascii="Calibri" w:hAnsi="Calibri" w:cs="Calibri"/>
          <w:sz w:val="22"/>
          <w:szCs w:val="22"/>
        </w:rPr>
      </w:pPr>
      <w:r w:rsidRPr="007A0B11">
        <w:rPr>
          <w:rFonts w:ascii="Calibri" w:hAnsi="Calibri" w:cs="Calibri"/>
          <w:sz w:val="22"/>
          <w:szCs w:val="22"/>
        </w:rPr>
        <w:lastRenderedPageBreak/>
        <w:t xml:space="preserve">Diese Sektoren verdeutlichen, wie konsistente Ausschüttungen und hohe Quoten Europa eine unverwechselbare Ertragskultur verleihen. </w:t>
      </w:r>
      <w:r w:rsidR="00946D72" w:rsidRPr="007A0B11">
        <w:rPr>
          <w:rFonts w:ascii="Calibri" w:hAnsi="Calibri" w:cs="Calibri"/>
          <w:sz w:val="22"/>
          <w:szCs w:val="22"/>
        </w:rPr>
        <w:t xml:space="preserve">Für Anleger macht diese tief verwurzelte Dividendenkultur – gestützt durch etablierte Ausschüttungspraktiken und verstärkt durch die sektorale Breite – Erträge zu einem prägenden </w:t>
      </w:r>
      <w:proofErr w:type="spellStart"/>
      <w:r w:rsidR="00946D72" w:rsidRPr="007A0B11">
        <w:rPr>
          <w:rFonts w:ascii="Calibri" w:hAnsi="Calibri" w:cs="Calibri"/>
          <w:sz w:val="22"/>
          <w:szCs w:val="22"/>
        </w:rPr>
        <w:t>Merkmal</w:t>
      </w:r>
      <w:proofErr w:type="spellEnd"/>
      <w:r w:rsidR="00946D72" w:rsidRPr="007A0B11">
        <w:rPr>
          <w:rFonts w:ascii="Calibri" w:hAnsi="Calibri" w:cs="Calibri"/>
          <w:sz w:val="22"/>
          <w:szCs w:val="22"/>
        </w:rPr>
        <w:t xml:space="preserve"> der </w:t>
      </w:r>
      <w:proofErr w:type="spellStart"/>
      <w:r w:rsidR="00946D72" w:rsidRPr="007A0B11">
        <w:rPr>
          <w:rFonts w:ascii="Calibri" w:hAnsi="Calibri" w:cs="Calibri"/>
          <w:sz w:val="22"/>
          <w:szCs w:val="22"/>
        </w:rPr>
        <w:t>europäischen</w:t>
      </w:r>
      <w:proofErr w:type="spellEnd"/>
      <w:r w:rsidR="00946D72" w:rsidRPr="007A0B11">
        <w:rPr>
          <w:rFonts w:ascii="Calibri" w:hAnsi="Calibri" w:cs="Calibri"/>
          <w:sz w:val="22"/>
          <w:szCs w:val="22"/>
        </w:rPr>
        <w:t xml:space="preserve"> </w:t>
      </w:r>
      <w:proofErr w:type="spellStart"/>
      <w:r w:rsidR="00946D72" w:rsidRPr="007A0B11">
        <w:rPr>
          <w:rFonts w:ascii="Calibri" w:hAnsi="Calibri" w:cs="Calibri"/>
          <w:sz w:val="22"/>
          <w:szCs w:val="22"/>
        </w:rPr>
        <w:t>Aktienlandschaft</w:t>
      </w:r>
      <w:proofErr w:type="spellEnd"/>
      <w:r w:rsidR="00946D72" w:rsidRPr="007A0B11">
        <w:rPr>
          <w:rFonts w:ascii="Calibri" w:hAnsi="Calibri" w:cs="Calibri"/>
          <w:sz w:val="22"/>
          <w:szCs w:val="22"/>
        </w:rPr>
        <w:t>.</w:t>
      </w:r>
    </w:p>
    <w:p w14:paraId="5E1E2A36" w14:textId="6214975A" w:rsidR="00235281" w:rsidRPr="00235281" w:rsidRDefault="00235281" w:rsidP="00E97A2A">
      <w:pPr>
        <w:pStyle w:val="StandardWeb"/>
        <w:ind w:right="543"/>
        <w:jc w:val="both"/>
        <w:rPr>
          <w:rFonts w:ascii="Calibri" w:hAnsi="Calibri" w:cs="Calibri"/>
          <w:sz w:val="22"/>
          <w:szCs w:val="22"/>
        </w:rPr>
      </w:pPr>
      <w:r>
        <w:rPr>
          <w:rFonts w:ascii="Calibri" w:hAnsi="Calibri" w:cs="Calibri"/>
          <w:noProof/>
          <w:sz w:val="22"/>
          <w:szCs w:val="22"/>
          <w14:ligatures w14:val="standardContextual"/>
        </w:rPr>
        <w:drawing>
          <wp:inline distT="0" distB="0" distL="0" distR="0" wp14:anchorId="07ABC58C" wp14:editId="7C6F37B1">
            <wp:extent cx="4654550" cy="2718638"/>
            <wp:effectExtent l="0" t="0" r="0" b="0"/>
            <wp:docPr id="2129259385" name="Grafik 193" descr="Ein Bild, das Text, Diagramm, Schrift,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59385" name="Grafik 193" descr="Ein Bild, das Text, Diagramm, Schrift, Karte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6458" cy="2731434"/>
                    </a:xfrm>
                    <a:prstGeom prst="rect">
                      <a:avLst/>
                    </a:prstGeom>
                  </pic:spPr>
                </pic:pic>
              </a:graphicData>
            </a:graphic>
          </wp:inline>
        </w:drawing>
      </w:r>
    </w:p>
    <w:p w14:paraId="2D212187" w14:textId="0E969B13" w:rsidR="005C707F" w:rsidRPr="00235281" w:rsidRDefault="008B6102" w:rsidP="00E97A2A">
      <w:pPr>
        <w:pStyle w:val="StandardWeb"/>
        <w:ind w:right="543"/>
        <w:jc w:val="both"/>
        <w:rPr>
          <w:rFonts w:ascii="Calibri" w:hAnsi="Calibri" w:cs="Calibri"/>
          <w:sz w:val="16"/>
          <w:szCs w:val="16"/>
        </w:rPr>
      </w:pPr>
      <w:r w:rsidRPr="00235281">
        <w:rPr>
          <w:rFonts w:ascii="Calibri" w:hAnsi="Calibri" w:cs="Calibri"/>
          <w:sz w:val="16"/>
          <w:szCs w:val="16"/>
        </w:rPr>
        <w:t xml:space="preserve">Quelle: Bloomberg, die </w:t>
      </w:r>
      <w:proofErr w:type="spellStart"/>
      <w:r w:rsidRPr="00235281">
        <w:rPr>
          <w:rFonts w:ascii="Calibri" w:hAnsi="Calibri" w:cs="Calibri"/>
          <w:sz w:val="16"/>
          <w:szCs w:val="16"/>
        </w:rPr>
        <w:t>jeweiligen</w:t>
      </w:r>
      <w:proofErr w:type="spellEnd"/>
      <w:r w:rsidRPr="00235281">
        <w:rPr>
          <w:rFonts w:ascii="Calibri" w:hAnsi="Calibri" w:cs="Calibri"/>
          <w:sz w:val="16"/>
          <w:szCs w:val="16"/>
        </w:rPr>
        <w:t xml:space="preserve"> MSCI-Länderindizes, Stand: 26. August 2025</w:t>
      </w:r>
    </w:p>
    <w:p w14:paraId="52146855" w14:textId="77777777" w:rsidR="001A3DAC" w:rsidRPr="008E2155" w:rsidRDefault="001A3DAC" w:rsidP="00E97A2A">
      <w:pPr>
        <w:pStyle w:val="berschrift5"/>
        <w:ind w:right="543"/>
        <w:jc w:val="both"/>
        <w:rPr>
          <w:rFonts w:ascii="Calibri" w:hAnsi="Calibri" w:cs="Calibri"/>
          <w:b/>
          <w:bCs/>
          <w:color w:val="000000" w:themeColor="text1"/>
          <w:sz w:val="22"/>
          <w:szCs w:val="22"/>
        </w:rPr>
      </w:pPr>
      <w:r w:rsidRPr="008E2155">
        <w:rPr>
          <w:rFonts w:ascii="Calibri" w:hAnsi="Calibri" w:cs="Calibri"/>
          <w:b/>
          <w:bCs/>
          <w:color w:val="000000" w:themeColor="text1"/>
          <w:sz w:val="22"/>
          <w:szCs w:val="22"/>
        </w:rPr>
        <w:t>Dividenden über Marktzyklen hinweg</w:t>
      </w:r>
    </w:p>
    <w:p w14:paraId="6007CC22" w14:textId="4B3115E5" w:rsidR="008B6102" w:rsidRPr="007A0B11" w:rsidRDefault="008B6102" w:rsidP="00E97A2A">
      <w:pPr>
        <w:pStyle w:val="berschrift5"/>
        <w:ind w:right="543"/>
        <w:jc w:val="both"/>
        <w:rPr>
          <w:rFonts w:ascii="Calibri" w:eastAsia="Times New Roman" w:hAnsi="Calibri" w:cs="Calibri"/>
          <w:color w:val="auto"/>
          <w:sz w:val="22"/>
          <w:szCs w:val="22"/>
          <w:lang w:eastAsia="en-GB"/>
          <w14:ligatures w14:val="none"/>
        </w:rPr>
      </w:pPr>
      <w:r w:rsidRPr="007A0B11">
        <w:rPr>
          <w:rFonts w:ascii="Calibri" w:eastAsia="Times New Roman" w:hAnsi="Calibri" w:cs="Calibri"/>
          <w:color w:val="auto"/>
          <w:sz w:val="22"/>
          <w:szCs w:val="22"/>
          <w:lang w:eastAsia="en-GB"/>
          <w14:ligatures w14:val="none"/>
        </w:rPr>
        <w:t xml:space="preserve">Ein charakteristisches Merkmal von Dividenden in Europa ist ihre Beständigkeit über verschiedene Marktumfelder hinweg. </w:t>
      </w:r>
      <w:r w:rsidR="0037464B" w:rsidRPr="007A0B11">
        <w:rPr>
          <w:rFonts w:ascii="Calibri" w:eastAsia="Times New Roman" w:hAnsi="Calibri" w:cs="Calibri"/>
          <w:color w:val="auto"/>
          <w:sz w:val="22"/>
          <w:szCs w:val="22"/>
          <w:lang w:eastAsia="en-GB"/>
          <w14:ligatures w14:val="none"/>
        </w:rPr>
        <w:t xml:space="preserve">Während </w:t>
      </w:r>
      <w:r w:rsidR="001E6A9D" w:rsidRPr="007A0B11">
        <w:rPr>
          <w:rFonts w:ascii="Calibri" w:eastAsia="Times New Roman" w:hAnsi="Calibri" w:cs="Calibri"/>
          <w:color w:val="auto"/>
          <w:sz w:val="22"/>
          <w:szCs w:val="22"/>
          <w:lang w:eastAsia="en-GB"/>
          <w14:ligatures w14:val="none"/>
        </w:rPr>
        <w:t>in Europa in letzter Zeit nur schwer ein bedeutendes Wachstum zu erzielen war</w:t>
      </w:r>
      <w:r w:rsidR="0037464B" w:rsidRPr="007A0B11">
        <w:rPr>
          <w:rFonts w:ascii="Calibri" w:eastAsia="Times New Roman" w:hAnsi="Calibri" w:cs="Calibri"/>
          <w:color w:val="auto"/>
          <w:sz w:val="22"/>
          <w:szCs w:val="22"/>
          <w:lang w:eastAsia="en-GB"/>
          <w14:ligatures w14:val="none"/>
        </w:rPr>
        <w:t xml:space="preserve">, </w:t>
      </w:r>
      <w:r w:rsidR="001E6A9D" w:rsidRPr="007A0B11">
        <w:rPr>
          <w:rFonts w:ascii="Calibri" w:eastAsia="Times New Roman" w:hAnsi="Calibri" w:cs="Calibri"/>
          <w:color w:val="auto"/>
          <w:sz w:val="22"/>
          <w:szCs w:val="22"/>
          <w:lang w:eastAsia="en-GB"/>
          <w14:ligatures w14:val="none"/>
        </w:rPr>
        <w:t>haben sich</w:t>
      </w:r>
      <w:r w:rsidR="0037464B" w:rsidRPr="007A0B11">
        <w:rPr>
          <w:rFonts w:ascii="Calibri" w:eastAsia="Times New Roman" w:hAnsi="Calibri" w:cs="Calibri"/>
          <w:color w:val="auto"/>
          <w:sz w:val="22"/>
          <w:szCs w:val="22"/>
          <w:lang w:eastAsia="en-GB"/>
          <w14:ligatures w14:val="none"/>
        </w:rPr>
        <w:t xml:space="preserve"> Dividenden </w:t>
      </w:r>
      <w:r w:rsidR="001E6A9D" w:rsidRPr="007A0B11">
        <w:rPr>
          <w:rFonts w:ascii="Calibri" w:eastAsia="Times New Roman" w:hAnsi="Calibri" w:cs="Calibri"/>
          <w:color w:val="auto"/>
          <w:sz w:val="22"/>
          <w:szCs w:val="22"/>
          <w:lang w:eastAsia="en-GB"/>
          <w14:ligatures w14:val="none"/>
        </w:rPr>
        <w:t>im Allgemeinen als widerstandsfähig gegenüber Konjunkturzyklen und Marktschocks erwiesen</w:t>
      </w:r>
      <w:r w:rsidR="0037464B" w:rsidRPr="007A0B11">
        <w:rPr>
          <w:rFonts w:ascii="Calibri" w:eastAsia="Times New Roman" w:hAnsi="Calibri" w:cs="Calibri"/>
          <w:color w:val="auto"/>
          <w:sz w:val="22"/>
          <w:szCs w:val="22"/>
          <w:lang w:eastAsia="en-GB"/>
          <w14:ligatures w14:val="none"/>
        </w:rPr>
        <w:t xml:space="preserve">. </w:t>
      </w:r>
      <w:r w:rsidRPr="007A0B11">
        <w:rPr>
          <w:rFonts w:ascii="Calibri" w:eastAsia="Times New Roman" w:hAnsi="Calibri" w:cs="Calibri"/>
          <w:color w:val="auto"/>
          <w:sz w:val="22"/>
          <w:szCs w:val="22"/>
          <w:lang w:eastAsia="en-GB"/>
          <w14:ligatures w14:val="none"/>
        </w:rPr>
        <w:t xml:space="preserve">Diese Stabilität bedeutet, dass Dividenden auch bei </w:t>
      </w:r>
      <w:r w:rsidR="001E6A9D" w:rsidRPr="007A0B11">
        <w:rPr>
          <w:rFonts w:ascii="Calibri" w:eastAsia="Times New Roman" w:hAnsi="Calibri" w:cs="Calibri"/>
          <w:color w:val="auto"/>
          <w:sz w:val="22"/>
          <w:szCs w:val="22"/>
          <w:lang w:eastAsia="en-GB"/>
          <w14:ligatures w14:val="none"/>
        </w:rPr>
        <w:t>volatileren</w:t>
      </w:r>
      <w:r w:rsidRPr="007A0B11">
        <w:rPr>
          <w:rFonts w:ascii="Calibri" w:eastAsia="Times New Roman" w:hAnsi="Calibri" w:cs="Calibri"/>
          <w:color w:val="auto"/>
          <w:sz w:val="22"/>
          <w:szCs w:val="22"/>
          <w:lang w:eastAsia="en-GB"/>
          <w14:ligatures w14:val="none"/>
        </w:rPr>
        <w:t xml:space="preserve"> Kursbewegungen eine Grundlage für Renditen bilden können.</w:t>
      </w:r>
    </w:p>
    <w:p w14:paraId="56B4DB43" w14:textId="2C113C13" w:rsidR="008B6102" w:rsidRPr="007A0B11" w:rsidRDefault="00660F6E" w:rsidP="00E97A2A">
      <w:pPr>
        <w:ind w:right="543"/>
        <w:jc w:val="both"/>
        <w:rPr>
          <w:rFonts w:ascii="Calibri" w:eastAsia="Times New Roman" w:hAnsi="Calibri" w:cs="Calibri"/>
          <w:sz w:val="22"/>
          <w:szCs w:val="22"/>
          <w:lang w:eastAsia="en-GB"/>
          <w14:ligatures w14:val="none"/>
        </w:rPr>
      </w:pPr>
      <w:r w:rsidRPr="007A0B11">
        <w:rPr>
          <w:rFonts w:ascii="Calibri" w:eastAsia="Times New Roman" w:hAnsi="Calibri" w:cs="Calibri"/>
          <w:sz w:val="22"/>
          <w:szCs w:val="22"/>
          <w:lang w:eastAsia="en-GB"/>
          <w14:ligatures w14:val="none"/>
        </w:rPr>
        <w:t xml:space="preserve">Darüber hinaus können Dividenden dazu beitragen, die Aktienkurse selbst zu stützen. Da Dividendenzahlungen </w:t>
      </w:r>
      <w:r w:rsidR="001E6A9D" w:rsidRPr="007A0B11">
        <w:rPr>
          <w:rFonts w:ascii="Calibri" w:eastAsia="Times New Roman" w:hAnsi="Calibri" w:cs="Calibri"/>
          <w:sz w:val="22"/>
          <w:szCs w:val="22"/>
          <w:lang w:eastAsia="en-GB"/>
          <w14:ligatures w14:val="none"/>
        </w:rPr>
        <w:t xml:space="preserve">oft </w:t>
      </w:r>
      <w:r w:rsidRPr="007A0B11">
        <w:rPr>
          <w:rFonts w:ascii="Calibri" w:eastAsia="Times New Roman" w:hAnsi="Calibri" w:cs="Calibri"/>
          <w:sz w:val="22"/>
          <w:szCs w:val="22"/>
          <w:lang w:eastAsia="en-GB"/>
          <w14:ligatures w14:val="none"/>
        </w:rPr>
        <w:t>ein wichtiger Faktor in traditionellen Aktienbewertungsmodellen sind</w:t>
      </w:r>
      <w:r w:rsidR="001E6A9D" w:rsidRPr="007A0B11">
        <w:rPr>
          <w:rFonts w:ascii="Calibri" w:eastAsia="Times New Roman" w:hAnsi="Calibri" w:cs="Calibri"/>
          <w:sz w:val="22"/>
          <w:szCs w:val="22"/>
          <w:lang w:eastAsia="en-GB"/>
          <w14:ligatures w14:val="none"/>
        </w:rPr>
        <w:t xml:space="preserve">, </w:t>
      </w:r>
      <w:r w:rsidRPr="007A0B11">
        <w:rPr>
          <w:rFonts w:ascii="Calibri" w:eastAsia="Times New Roman" w:hAnsi="Calibri" w:cs="Calibri"/>
          <w:sz w:val="22"/>
          <w:szCs w:val="22"/>
          <w:lang w:eastAsia="en-GB"/>
          <w14:ligatures w14:val="none"/>
        </w:rPr>
        <w:t xml:space="preserve">können Unternehmen mit stabilen und vorhersehbaren Ausschüttungen </w:t>
      </w:r>
      <w:r w:rsidR="001E6A9D" w:rsidRPr="007A0B11">
        <w:rPr>
          <w:rFonts w:ascii="Calibri" w:eastAsia="Times New Roman" w:hAnsi="Calibri" w:cs="Calibri"/>
          <w:sz w:val="22"/>
          <w:szCs w:val="22"/>
          <w:lang w:eastAsia="en-GB"/>
          <w14:ligatures w14:val="none"/>
        </w:rPr>
        <w:t xml:space="preserve">genauer bewertet werden als Wachstumsaktien </w:t>
      </w:r>
      <w:r w:rsidR="007E2D14" w:rsidRPr="007A0B11">
        <w:rPr>
          <w:rFonts w:ascii="Calibri" w:eastAsia="Times New Roman" w:hAnsi="Calibri" w:cs="Calibri"/>
          <w:sz w:val="22"/>
          <w:szCs w:val="22"/>
          <w:lang w:eastAsia="en-GB"/>
          <w14:ligatures w14:val="none"/>
        </w:rPr>
        <w:t>(</w:t>
      </w:r>
      <w:r w:rsidR="001E6A9D" w:rsidRPr="007A0B11">
        <w:rPr>
          <w:rFonts w:ascii="Calibri" w:eastAsia="Times New Roman" w:hAnsi="Calibri" w:cs="Calibri"/>
          <w:sz w:val="22"/>
          <w:szCs w:val="22"/>
          <w:lang w:eastAsia="en-GB"/>
          <w14:ligatures w14:val="none"/>
        </w:rPr>
        <w:t xml:space="preserve">bei denen die zukünftigen Cashflows </w:t>
      </w:r>
      <w:r w:rsidR="007E2D14" w:rsidRPr="007A0B11">
        <w:rPr>
          <w:rFonts w:ascii="Calibri" w:eastAsia="Times New Roman" w:hAnsi="Calibri" w:cs="Calibri"/>
          <w:sz w:val="22"/>
          <w:szCs w:val="22"/>
          <w:lang w:eastAsia="en-GB"/>
          <w14:ligatures w14:val="none"/>
        </w:rPr>
        <w:t xml:space="preserve">tendenziell </w:t>
      </w:r>
      <w:r w:rsidR="001E6A9D" w:rsidRPr="007A0B11">
        <w:rPr>
          <w:rFonts w:ascii="Calibri" w:eastAsia="Times New Roman" w:hAnsi="Calibri" w:cs="Calibri"/>
          <w:sz w:val="22"/>
          <w:szCs w:val="22"/>
          <w:lang w:eastAsia="en-GB"/>
          <w14:ligatures w14:val="none"/>
        </w:rPr>
        <w:t xml:space="preserve">unsicherer </w:t>
      </w:r>
      <w:r w:rsidR="007E2D14" w:rsidRPr="007A0B11">
        <w:rPr>
          <w:rFonts w:ascii="Calibri" w:eastAsia="Times New Roman" w:hAnsi="Calibri" w:cs="Calibri"/>
          <w:sz w:val="22"/>
          <w:szCs w:val="22"/>
          <w:lang w:eastAsia="en-GB"/>
          <w14:ligatures w14:val="none"/>
        </w:rPr>
        <w:t>sind)</w:t>
      </w:r>
      <w:r w:rsidR="001E6A9D" w:rsidRPr="007A0B11">
        <w:rPr>
          <w:rFonts w:ascii="Calibri" w:eastAsia="Times New Roman" w:hAnsi="Calibri" w:cs="Calibri"/>
          <w:sz w:val="22"/>
          <w:szCs w:val="22"/>
          <w:lang w:eastAsia="en-GB"/>
          <w14:ligatures w14:val="none"/>
        </w:rPr>
        <w:t xml:space="preserve">. Diese Annäherungen an den fairen Wert können in Marktabschwüngen als Untergrenze dienen. </w:t>
      </w:r>
      <w:proofErr w:type="spellStart"/>
      <w:r w:rsidR="008B6102" w:rsidRPr="007A0B11">
        <w:rPr>
          <w:rFonts w:ascii="Calibri" w:eastAsia="Times New Roman" w:hAnsi="Calibri" w:cs="Calibri"/>
          <w:sz w:val="22"/>
          <w:szCs w:val="22"/>
          <w:lang w:eastAsia="en-GB"/>
          <w14:ligatures w14:val="none"/>
        </w:rPr>
        <w:t>Dividenden</w:t>
      </w:r>
      <w:proofErr w:type="spellEnd"/>
      <w:r w:rsidR="008B6102" w:rsidRPr="007A0B11">
        <w:rPr>
          <w:rFonts w:ascii="Calibri" w:eastAsia="Times New Roman" w:hAnsi="Calibri" w:cs="Calibri"/>
          <w:sz w:val="22"/>
          <w:szCs w:val="22"/>
          <w:lang w:eastAsia="en-GB"/>
          <w14:ligatures w14:val="none"/>
        </w:rPr>
        <w:t xml:space="preserve"> </w:t>
      </w:r>
      <w:proofErr w:type="spellStart"/>
      <w:r w:rsidR="008B6102" w:rsidRPr="007A0B11">
        <w:rPr>
          <w:rFonts w:ascii="Calibri" w:eastAsia="Times New Roman" w:hAnsi="Calibri" w:cs="Calibri"/>
          <w:sz w:val="22"/>
          <w:szCs w:val="22"/>
          <w:lang w:eastAsia="en-GB"/>
          <w14:ligatures w14:val="none"/>
        </w:rPr>
        <w:t>sind</w:t>
      </w:r>
      <w:proofErr w:type="spellEnd"/>
      <w:r w:rsidR="008B6102" w:rsidRPr="007A0B11">
        <w:rPr>
          <w:rFonts w:ascii="Calibri" w:eastAsia="Times New Roman" w:hAnsi="Calibri" w:cs="Calibri"/>
          <w:sz w:val="22"/>
          <w:szCs w:val="22"/>
          <w:lang w:eastAsia="en-GB"/>
          <w14:ligatures w14:val="none"/>
        </w:rPr>
        <w:t xml:space="preserve"> </w:t>
      </w:r>
      <w:proofErr w:type="spellStart"/>
      <w:r w:rsidR="008B6102" w:rsidRPr="007A0B11">
        <w:rPr>
          <w:rFonts w:ascii="Calibri" w:eastAsia="Times New Roman" w:hAnsi="Calibri" w:cs="Calibri"/>
          <w:sz w:val="22"/>
          <w:szCs w:val="22"/>
          <w:lang w:eastAsia="en-GB"/>
          <w14:ligatures w14:val="none"/>
        </w:rPr>
        <w:t>nicht</w:t>
      </w:r>
      <w:proofErr w:type="spellEnd"/>
      <w:r w:rsidR="008B6102" w:rsidRPr="007A0B11">
        <w:rPr>
          <w:rFonts w:ascii="Calibri" w:eastAsia="Times New Roman" w:hAnsi="Calibri" w:cs="Calibri"/>
          <w:sz w:val="22"/>
          <w:szCs w:val="22"/>
          <w:lang w:eastAsia="en-GB"/>
          <w14:ligatures w14:val="none"/>
        </w:rPr>
        <w:t xml:space="preserve"> an einen bestimmten Zyklus gebunden, sondern können als dauerhafter Bestandteil von Aktieninvestitionen dienen – sie tragen dazu bei, die Ergebnisse kurzfristig zu glätten und langfristig die Wertschöpfung zu steigern. </w:t>
      </w:r>
    </w:p>
    <w:p w14:paraId="5B43EB55" w14:textId="77777777" w:rsidR="008B6102" w:rsidRPr="008E2155" w:rsidRDefault="008B6102" w:rsidP="00E97A2A">
      <w:pPr>
        <w:pStyle w:val="berschrift5"/>
        <w:ind w:right="543"/>
        <w:jc w:val="both"/>
        <w:rPr>
          <w:rFonts w:ascii="Calibri" w:eastAsia="Times New Roman" w:hAnsi="Calibri" w:cs="Calibri"/>
          <w:b/>
          <w:bCs/>
          <w:color w:val="000000" w:themeColor="text1"/>
          <w:sz w:val="22"/>
          <w:szCs w:val="22"/>
          <w:lang w:eastAsia="en-GB"/>
          <w14:ligatures w14:val="none"/>
        </w:rPr>
      </w:pPr>
    </w:p>
    <w:p w14:paraId="1ECB19C9" w14:textId="734C902C" w:rsidR="001A3DAC" w:rsidRPr="008E2155" w:rsidRDefault="001A3DAC" w:rsidP="00E97A2A">
      <w:pPr>
        <w:pStyle w:val="berschrift5"/>
        <w:ind w:right="543"/>
        <w:jc w:val="both"/>
        <w:rPr>
          <w:rFonts w:ascii="Calibri" w:hAnsi="Calibri" w:cs="Calibri"/>
          <w:b/>
          <w:bCs/>
          <w:color w:val="000000" w:themeColor="text1"/>
          <w:sz w:val="22"/>
          <w:szCs w:val="22"/>
        </w:rPr>
      </w:pPr>
      <w:r w:rsidRPr="008E2155">
        <w:rPr>
          <w:rFonts w:ascii="Calibri" w:hAnsi="Calibri" w:cs="Calibri"/>
          <w:b/>
          <w:bCs/>
          <w:color w:val="000000" w:themeColor="text1"/>
          <w:sz w:val="22"/>
          <w:szCs w:val="22"/>
        </w:rPr>
        <w:t>Einführung einer Qualitätsperspektive</w:t>
      </w:r>
    </w:p>
    <w:p w14:paraId="64AC4E04" w14:textId="665A8253" w:rsidR="00373DD2" w:rsidRPr="00B4256C" w:rsidRDefault="00F53C79" w:rsidP="00E97A2A">
      <w:pPr>
        <w:ind w:right="543"/>
        <w:jc w:val="both"/>
        <w:rPr>
          <w:rFonts w:ascii="Calibri" w:eastAsia="Times New Roman" w:hAnsi="Calibri" w:cs="Calibri"/>
          <w:sz w:val="22"/>
          <w:szCs w:val="22"/>
          <w:lang w:eastAsia="en-GB"/>
          <w14:ligatures w14:val="none"/>
        </w:rPr>
      </w:pPr>
      <w:r w:rsidRPr="00B4256C">
        <w:rPr>
          <w:rFonts w:ascii="Calibri" w:eastAsia="Times New Roman" w:hAnsi="Calibri" w:cs="Calibri"/>
          <w:sz w:val="22"/>
          <w:szCs w:val="22"/>
          <w:lang w:eastAsia="en-GB"/>
          <w14:ligatures w14:val="none"/>
        </w:rPr>
        <w:t xml:space="preserve">Einkommensorientierte Anleger, die Aktien in Betracht ziehen, verfolgen in der Regel drei übergeordnete Ziele. Das erste Ziel ist natürlich die Erzielung eines angemessenen Einkommens. Das zweite Ziel ist oft der langfristige Schutz des Kapitals. Und das dritte Ziel dreht sich um das Potenzial für Kapitalgewinne – andernfalls wären festverzinsliche Wertpapiere möglicherweise die geeignetere Option. Wenn man sich ausschließlich auf die nominale Dividendenrendite konzentriert, kann man zwar </w:t>
      </w:r>
      <w:r w:rsidR="008D6498" w:rsidRPr="00B4256C">
        <w:rPr>
          <w:rFonts w:ascii="Calibri" w:eastAsia="Times New Roman" w:hAnsi="Calibri" w:cs="Calibri"/>
          <w:sz w:val="22"/>
          <w:szCs w:val="22"/>
          <w:lang w:eastAsia="en-GB"/>
          <w14:ligatures w14:val="none"/>
        </w:rPr>
        <w:t>das</w:t>
      </w:r>
      <w:r w:rsidRPr="00B4256C">
        <w:rPr>
          <w:rFonts w:ascii="Calibri" w:eastAsia="Times New Roman" w:hAnsi="Calibri" w:cs="Calibri"/>
          <w:sz w:val="22"/>
          <w:szCs w:val="22"/>
          <w:lang w:eastAsia="en-GB"/>
          <w14:ligatures w14:val="none"/>
        </w:rPr>
        <w:t xml:space="preserve"> erste </w:t>
      </w:r>
      <w:r w:rsidR="008D6498" w:rsidRPr="00B4256C">
        <w:rPr>
          <w:rFonts w:ascii="Calibri" w:eastAsia="Times New Roman" w:hAnsi="Calibri" w:cs="Calibri"/>
          <w:sz w:val="22"/>
          <w:szCs w:val="22"/>
          <w:lang w:eastAsia="en-GB"/>
          <w14:ligatures w14:val="none"/>
        </w:rPr>
        <w:t>Ziel</w:t>
      </w:r>
      <w:r w:rsidRPr="00B4256C">
        <w:rPr>
          <w:rFonts w:ascii="Calibri" w:eastAsia="Times New Roman" w:hAnsi="Calibri" w:cs="Calibri"/>
          <w:sz w:val="22"/>
          <w:szCs w:val="22"/>
          <w:lang w:eastAsia="en-GB"/>
          <w14:ligatures w14:val="none"/>
        </w:rPr>
        <w:t xml:space="preserve"> erreichen</w:t>
      </w:r>
      <w:r w:rsidR="008D6498" w:rsidRPr="00B4256C">
        <w:rPr>
          <w:rFonts w:ascii="Calibri" w:eastAsia="Times New Roman" w:hAnsi="Calibri" w:cs="Calibri"/>
          <w:sz w:val="22"/>
          <w:szCs w:val="22"/>
          <w:lang w:eastAsia="en-GB"/>
          <w14:ligatures w14:val="none"/>
        </w:rPr>
        <w:t xml:space="preserve">, aber </w:t>
      </w:r>
      <w:r w:rsidRPr="00B4256C">
        <w:rPr>
          <w:rFonts w:ascii="Calibri" w:eastAsia="Times New Roman" w:hAnsi="Calibri" w:cs="Calibri"/>
          <w:sz w:val="22"/>
          <w:szCs w:val="22"/>
          <w:lang w:eastAsia="en-GB"/>
          <w14:ligatures w14:val="none"/>
        </w:rPr>
        <w:t xml:space="preserve">die beiden anderen Ziele verfehlen. </w:t>
      </w:r>
      <w:r w:rsidR="00373DD2" w:rsidRPr="00B4256C">
        <w:rPr>
          <w:rFonts w:ascii="Calibri" w:eastAsia="Times New Roman" w:hAnsi="Calibri" w:cs="Calibri"/>
          <w:sz w:val="22"/>
          <w:szCs w:val="22"/>
          <w:lang w:eastAsia="en-GB"/>
          <w14:ligatures w14:val="none"/>
        </w:rPr>
        <w:t xml:space="preserve">Unternehmen mit </w:t>
      </w:r>
      <w:r w:rsidRPr="00B4256C">
        <w:rPr>
          <w:rFonts w:ascii="Calibri" w:eastAsia="Times New Roman" w:hAnsi="Calibri" w:cs="Calibri"/>
          <w:sz w:val="22"/>
          <w:szCs w:val="22"/>
          <w:lang w:eastAsia="en-GB"/>
          <w14:ligatures w14:val="none"/>
        </w:rPr>
        <w:t xml:space="preserve">besonders </w:t>
      </w:r>
      <w:r w:rsidR="00373DD2" w:rsidRPr="00B4256C">
        <w:rPr>
          <w:rFonts w:ascii="Calibri" w:eastAsia="Times New Roman" w:hAnsi="Calibri" w:cs="Calibri"/>
          <w:sz w:val="22"/>
          <w:szCs w:val="22"/>
          <w:lang w:eastAsia="en-GB"/>
          <w14:ligatures w14:val="none"/>
        </w:rPr>
        <w:t xml:space="preserve">hohen Renditen spiegeln manchmal eher fallende Aktienkurse oder finanzielle Belastungen wider als nachhaltige Stärke. </w:t>
      </w:r>
      <w:r w:rsidRPr="00B4256C">
        <w:rPr>
          <w:rFonts w:ascii="Calibri" w:eastAsia="Times New Roman" w:hAnsi="Calibri" w:cs="Calibri"/>
          <w:sz w:val="22"/>
          <w:szCs w:val="22"/>
          <w:lang w:eastAsia="en-GB"/>
          <w14:ligatures w14:val="none"/>
        </w:rPr>
        <w:t xml:space="preserve">Wir bevorzugen </w:t>
      </w:r>
      <w:r w:rsidR="00373DD2" w:rsidRPr="00B4256C">
        <w:rPr>
          <w:rFonts w:ascii="Calibri" w:eastAsia="Times New Roman" w:hAnsi="Calibri" w:cs="Calibri"/>
          <w:sz w:val="22"/>
          <w:szCs w:val="22"/>
          <w:lang w:eastAsia="en-GB"/>
          <w14:ligatures w14:val="none"/>
        </w:rPr>
        <w:t>einen qualitätsorientierten Ansatz, um zwischen attraktiven Chancen und potenziellen Fallstricken zu unterscheiden.</w:t>
      </w:r>
    </w:p>
    <w:p w14:paraId="4139DF2C" w14:textId="789655C8" w:rsidR="00373DD2" w:rsidRPr="007A0B11" w:rsidRDefault="00373DD2" w:rsidP="00E97A2A">
      <w:pPr>
        <w:pStyle w:val="StandardWeb"/>
        <w:ind w:right="543"/>
        <w:jc w:val="both"/>
        <w:rPr>
          <w:rFonts w:ascii="Calibri" w:hAnsi="Calibri" w:cs="Calibri"/>
          <w:sz w:val="22"/>
          <w:szCs w:val="22"/>
        </w:rPr>
      </w:pPr>
      <w:r w:rsidRPr="007A0B11">
        <w:rPr>
          <w:rFonts w:ascii="Calibri" w:hAnsi="Calibri" w:cs="Calibri"/>
          <w:sz w:val="22"/>
          <w:szCs w:val="22"/>
        </w:rPr>
        <w:t>Zu den wichtigsten Qualitätsmaßstäben gehören:</w:t>
      </w:r>
    </w:p>
    <w:p w14:paraId="64336E27" w14:textId="77777777" w:rsidR="00373DD2" w:rsidRPr="007A0B11" w:rsidRDefault="00373DD2" w:rsidP="00E97A2A">
      <w:pPr>
        <w:pStyle w:val="StandardWeb"/>
        <w:numPr>
          <w:ilvl w:val="0"/>
          <w:numId w:val="6"/>
        </w:numPr>
        <w:ind w:right="543"/>
        <w:jc w:val="both"/>
        <w:rPr>
          <w:rFonts w:ascii="Calibri" w:hAnsi="Calibri" w:cs="Calibri"/>
          <w:sz w:val="22"/>
          <w:szCs w:val="22"/>
        </w:rPr>
      </w:pPr>
      <w:r w:rsidRPr="007A0B11">
        <w:rPr>
          <w:rStyle w:val="Fett"/>
          <w:rFonts w:ascii="Calibri" w:eastAsiaTheme="majorEastAsia" w:hAnsi="Calibri" w:cs="Calibri"/>
          <w:sz w:val="22"/>
          <w:szCs w:val="22"/>
        </w:rPr>
        <w:t xml:space="preserve">Eigenkapitalrendite (ROE): </w:t>
      </w:r>
      <w:r w:rsidRPr="007A0B11">
        <w:rPr>
          <w:rFonts w:ascii="Calibri" w:hAnsi="Calibri" w:cs="Calibri"/>
          <w:sz w:val="22"/>
          <w:szCs w:val="22"/>
        </w:rPr>
        <w:t>Eine Rentabilitätskennzahl, die angibt, wie effizient ein Unternehmen im Verhältnis zum Eigenkapital Gewinne erzielt.</w:t>
      </w:r>
    </w:p>
    <w:p w14:paraId="2415BFD6" w14:textId="77777777" w:rsidR="00373DD2" w:rsidRPr="007A0B11" w:rsidRDefault="00373DD2" w:rsidP="00E97A2A">
      <w:pPr>
        <w:pStyle w:val="StandardWeb"/>
        <w:numPr>
          <w:ilvl w:val="0"/>
          <w:numId w:val="6"/>
        </w:numPr>
        <w:ind w:right="543"/>
        <w:jc w:val="both"/>
        <w:rPr>
          <w:rFonts w:ascii="Calibri" w:hAnsi="Calibri" w:cs="Calibri"/>
          <w:sz w:val="22"/>
          <w:szCs w:val="22"/>
        </w:rPr>
      </w:pPr>
      <w:r w:rsidRPr="007A0B11">
        <w:rPr>
          <w:rStyle w:val="Fett"/>
          <w:rFonts w:ascii="Calibri" w:eastAsiaTheme="majorEastAsia" w:hAnsi="Calibri" w:cs="Calibri"/>
          <w:sz w:val="22"/>
          <w:szCs w:val="22"/>
        </w:rPr>
        <w:lastRenderedPageBreak/>
        <w:t xml:space="preserve">Gewinnschwankungen: </w:t>
      </w:r>
      <w:r w:rsidRPr="007A0B11">
        <w:rPr>
          <w:rFonts w:ascii="Calibri" w:hAnsi="Calibri" w:cs="Calibri"/>
          <w:sz w:val="22"/>
          <w:szCs w:val="22"/>
        </w:rPr>
        <w:t>Bewertung der Stabilität der Gewinne über Konjunkturzyklen hinweg, was Aufschluss über die Zuverlässigkeit künftiger Gewinne geben kann.</w:t>
      </w:r>
    </w:p>
    <w:p w14:paraId="716D3D45" w14:textId="77777777" w:rsidR="00373DD2" w:rsidRPr="007A0B11" w:rsidRDefault="00373DD2" w:rsidP="00E97A2A">
      <w:pPr>
        <w:pStyle w:val="StandardWeb"/>
        <w:numPr>
          <w:ilvl w:val="0"/>
          <w:numId w:val="6"/>
        </w:numPr>
        <w:ind w:right="543"/>
        <w:jc w:val="both"/>
        <w:rPr>
          <w:rFonts w:ascii="Calibri" w:hAnsi="Calibri" w:cs="Calibri"/>
          <w:sz w:val="22"/>
          <w:szCs w:val="22"/>
        </w:rPr>
      </w:pPr>
      <w:r w:rsidRPr="007A0B11">
        <w:rPr>
          <w:rStyle w:val="Fett"/>
          <w:rFonts w:ascii="Calibri" w:eastAsiaTheme="majorEastAsia" w:hAnsi="Calibri" w:cs="Calibri"/>
          <w:sz w:val="22"/>
          <w:szCs w:val="22"/>
        </w:rPr>
        <w:t xml:space="preserve">Verschuldungsgrad: </w:t>
      </w:r>
      <w:r w:rsidRPr="007A0B11">
        <w:rPr>
          <w:rFonts w:ascii="Calibri" w:hAnsi="Calibri" w:cs="Calibri"/>
          <w:sz w:val="22"/>
          <w:szCs w:val="22"/>
        </w:rPr>
        <w:t>Bewertung der Bilanz, da eine geringere Schuldenlast auf finanzielle Widerstandsfähigkeit und Stabilität hindeuten kann.</w:t>
      </w:r>
    </w:p>
    <w:p w14:paraId="0D392AC3" w14:textId="3B2AB962" w:rsidR="002F48BD" w:rsidRPr="007A0B11" w:rsidRDefault="002F48BD" w:rsidP="00E97A2A">
      <w:pPr>
        <w:pStyle w:val="berschrift5"/>
        <w:ind w:right="543"/>
        <w:jc w:val="both"/>
        <w:rPr>
          <w:rFonts w:ascii="Calibri" w:eastAsia="Times New Roman" w:hAnsi="Calibri" w:cs="Calibri"/>
          <w:color w:val="auto"/>
          <w:sz w:val="22"/>
          <w:szCs w:val="22"/>
          <w:lang w:eastAsia="en-GB"/>
          <w14:ligatures w14:val="none"/>
        </w:rPr>
      </w:pPr>
      <w:r w:rsidRPr="007A0B11">
        <w:rPr>
          <w:rFonts w:ascii="Calibri" w:eastAsia="Times New Roman" w:hAnsi="Calibri" w:cs="Calibri"/>
          <w:color w:val="auto"/>
          <w:sz w:val="22"/>
          <w:szCs w:val="22"/>
          <w:lang w:eastAsia="en-GB"/>
          <w14:ligatures w14:val="none"/>
        </w:rPr>
        <w:t xml:space="preserve">Zusammen ergeben diese </w:t>
      </w:r>
      <w:r w:rsidR="00F53C79" w:rsidRPr="007A0B11">
        <w:rPr>
          <w:rFonts w:ascii="Calibri" w:eastAsia="Times New Roman" w:hAnsi="Calibri" w:cs="Calibri"/>
          <w:color w:val="auto"/>
          <w:sz w:val="22"/>
          <w:szCs w:val="22"/>
          <w:lang w:eastAsia="en-GB"/>
          <w14:ligatures w14:val="none"/>
        </w:rPr>
        <w:t xml:space="preserve">Kriterien </w:t>
      </w:r>
      <w:r w:rsidRPr="007A0B11">
        <w:rPr>
          <w:rFonts w:ascii="Calibri" w:eastAsia="Times New Roman" w:hAnsi="Calibri" w:cs="Calibri"/>
          <w:color w:val="auto"/>
          <w:sz w:val="22"/>
          <w:szCs w:val="22"/>
          <w:lang w:eastAsia="en-GB"/>
          <w14:ligatures w14:val="none"/>
        </w:rPr>
        <w:t xml:space="preserve">ein vollständigeres Bild der Nachhaltigkeit von Dividenden. </w:t>
      </w:r>
      <w:r w:rsidR="0037464B" w:rsidRPr="007A0B11">
        <w:rPr>
          <w:rFonts w:ascii="Calibri" w:eastAsia="Times New Roman" w:hAnsi="Calibri" w:cs="Calibri"/>
          <w:color w:val="auto"/>
          <w:sz w:val="22"/>
          <w:szCs w:val="22"/>
          <w:lang w:eastAsia="en-GB"/>
          <w14:ligatures w14:val="none"/>
        </w:rPr>
        <w:t xml:space="preserve">Die Kombination von Rendite mit Effizienz, Stabilität und finanzieller Disziplin </w:t>
      </w:r>
      <w:r w:rsidR="00F53C79" w:rsidRPr="007A0B11">
        <w:rPr>
          <w:rFonts w:ascii="Calibri" w:eastAsia="Times New Roman" w:hAnsi="Calibri" w:cs="Calibri"/>
          <w:color w:val="auto"/>
          <w:sz w:val="22"/>
          <w:szCs w:val="22"/>
          <w:lang w:eastAsia="en-GB"/>
          <w14:ligatures w14:val="none"/>
        </w:rPr>
        <w:t xml:space="preserve">kann dabei helfen, </w:t>
      </w:r>
      <w:r w:rsidR="0037464B" w:rsidRPr="007A0B11">
        <w:rPr>
          <w:rFonts w:ascii="Calibri" w:eastAsia="Times New Roman" w:hAnsi="Calibri" w:cs="Calibri"/>
          <w:color w:val="auto"/>
          <w:sz w:val="22"/>
          <w:szCs w:val="22"/>
          <w:lang w:eastAsia="en-GB"/>
          <w14:ligatures w14:val="none"/>
        </w:rPr>
        <w:t>attraktive und nachhaltige Dividenden zu identifizieren</w:t>
      </w:r>
      <w:r w:rsidR="00F53C79" w:rsidRPr="007A0B11">
        <w:rPr>
          <w:rFonts w:ascii="Calibri" w:eastAsia="Times New Roman" w:hAnsi="Calibri" w:cs="Calibri"/>
          <w:color w:val="auto"/>
          <w:sz w:val="22"/>
          <w:szCs w:val="22"/>
          <w:lang w:eastAsia="en-GB"/>
          <w14:ligatures w14:val="none"/>
        </w:rPr>
        <w:t>, die Raum für zukünftiges Wachstum lassen</w:t>
      </w:r>
      <w:r w:rsidR="0037464B" w:rsidRPr="007A0B11">
        <w:rPr>
          <w:rFonts w:ascii="Calibri" w:eastAsia="Times New Roman" w:hAnsi="Calibri" w:cs="Calibri"/>
          <w:color w:val="auto"/>
          <w:sz w:val="22"/>
          <w:szCs w:val="22"/>
          <w:lang w:eastAsia="en-GB"/>
          <w14:ligatures w14:val="none"/>
        </w:rPr>
        <w:t xml:space="preserve">. </w:t>
      </w:r>
      <w:r w:rsidRPr="007A0B11">
        <w:rPr>
          <w:rFonts w:ascii="Calibri" w:eastAsia="Times New Roman" w:hAnsi="Calibri" w:cs="Calibri"/>
          <w:color w:val="auto"/>
          <w:sz w:val="22"/>
          <w:szCs w:val="22"/>
          <w:lang w:eastAsia="en-GB"/>
          <w14:ligatures w14:val="none"/>
        </w:rPr>
        <w:t>Der LibertyQ European Dividend Index veranschaulicht dies: Sein regelbasierter Ansatz, der Rendite mit Qualitätsfiltern in Einklang bringt, liefert derzeit eine Dividendenrendite von 4,8 % gegenüber 3,2 % für europäische Aktien insgesamt und eine durchschnittliche Eigenkapitalrendite von 15,8 % gegenüber 11,9 %.</w:t>
      </w:r>
      <w:r w:rsidR="00D5140B" w:rsidRPr="007A0B11">
        <w:rPr>
          <w:rStyle w:val="Endnotenzeichen"/>
          <w:rFonts w:ascii="Calibri" w:eastAsia="Times New Roman" w:hAnsi="Calibri" w:cs="Calibri"/>
          <w:color w:val="auto"/>
          <w:sz w:val="22"/>
          <w:szCs w:val="22"/>
          <w:lang w:eastAsia="en-GB"/>
          <w14:ligatures w14:val="none"/>
        </w:rPr>
        <w:endnoteReference w:id="5"/>
      </w:r>
    </w:p>
    <w:p w14:paraId="203A77D0" w14:textId="77777777" w:rsidR="009964CB" w:rsidRPr="007A0B11" w:rsidRDefault="009964CB" w:rsidP="00E97A2A">
      <w:pPr>
        <w:pStyle w:val="berschrift5"/>
        <w:ind w:right="543"/>
        <w:jc w:val="both"/>
        <w:rPr>
          <w:rFonts w:ascii="Calibri" w:hAnsi="Calibri" w:cs="Calibri"/>
          <w:sz w:val="22"/>
          <w:szCs w:val="22"/>
        </w:rPr>
      </w:pPr>
    </w:p>
    <w:p w14:paraId="76499828" w14:textId="18F8EA1F" w:rsidR="001A3DAC" w:rsidRPr="008E2155" w:rsidRDefault="001A3DAC" w:rsidP="00E97A2A">
      <w:pPr>
        <w:pStyle w:val="berschrift5"/>
        <w:spacing w:before="0"/>
        <w:ind w:right="543"/>
        <w:jc w:val="both"/>
        <w:rPr>
          <w:rFonts w:ascii="Calibri" w:hAnsi="Calibri" w:cs="Calibri"/>
          <w:b/>
          <w:bCs/>
          <w:color w:val="000000" w:themeColor="text1"/>
          <w:sz w:val="22"/>
          <w:szCs w:val="22"/>
        </w:rPr>
      </w:pPr>
      <w:r w:rsidRPr="008E2155">
        <w:rPr>
          <w:rFonts w:ascii="Calibri" w:hAnsi="Calibri" w:cs="Calibri"/>
          <w:b/>
          <w:bCs/>
          <w:color w:val="000000" w:themeColor="text1"/>
          <w:sz w:val="22"/>
          <w:szCs w:val="22"/>
        </w:rPr>
        <w:t>Resilienz und Diversifizierung</w:t>
      </w:r>
    </w:p>
    <w:p w14:paraId="49157E36" w14:textId="6FD08746" w:rsidR="006D6143" w:rsidRPr="00DA758C" w:rsidRDefault="006D6143" w:rsidP="00E97A2A">
      <w:pPr>
        <w:pStyle w:val="berschrift5"/>
        <w:ind w:right="543"/>
        <w:jc w:val="both"/>
        <w:rPr>
          <w:rFonts w:ascii="Calibri" w:eastAsia="Times New Roman" w:hAnsi="Calibri" w:cs="Calibri"/>
          <w:color w:val="auto"/>
          <w:sz w:val="22"/>
          <w:szCs w:val="22"/>
          <w:lang w:eastAsia="en-GB"/>
          <w14:ligatures w14:val="none"/>
        </w:rPr>
      </w:pPr>
      <w:r w:rsidRPr="00DA758C">
        <w:rPr>
          <w:rFonts w:ascii="Calibri" w:eastAsia="Times New Roman" w:hAnsi="Calibri" w:cs="Calibri"/>
          <w:color w:val="auto"/>
          <w:sz w:val="22"/>
          <w:szCs w:val="22"/>
          <w:lang w:eastAsia="en-GB"/>
          <w14:ligatures w14:val="none"/>
        </w:rPr>
        <w:t xml:space="preserve">Durch die Konzentration auf Unternehmen mit starker Rentabilität, </w:t>
      </w:r>
      <w:r w:rsidR="009964CB" w:rsidRPr="00DA758C">
        <w:rPr>
          <w:rFonts w:ascii="Calibri" w:eastAsia="Times New Roman" w:hAnsi="Calibri" w:cs="Calibri"/>
          <w:color w:val="auto"/>
          <w:sz w:val="22"/>
          <w:szCs w:val="22"/>
          <w:lang w:eastAsia="en-GB"/>
          <w14:ligatures w14:val="none"/>
        </w:rPr>
        <w:t xml:space="preserve">stabilen </w:t>
      </w:r>
      <w:r w:rsidRPr="00DA758C">
        <w:rPr>
          <w:rFonts w:ascii="Calibri" w:eastAsia="Times New Roman" w:hAnsi="Calibri" w:cs="Calibri"/>
          <w:color w:val="auto"/>
          <w:sz w:val="22"/>
          <w:szCs w:val="22"/>
          <w:lang w:eastAsia="en-GB"/>
          <w14:ligatures w14:val="none"/>
        </w:rPr>
        <w:t xml:space="preserve">Erträgen und soliden Bilanzen </w:t>
      </w:r>
      <w:r w:rsidR="009964CB" w:rsidRPr="00DA758C">
        <w:rPr>
          <w:rFonts w:ascii="Calibri" w:eastAsia="Times New Roman" w:hAnsi="Calibri" w:cs="Calibri"/>
          <w:color w:val="auto"/>
          <w:sz w:val="22"/>
          <w:szCs w:val="22"/>
          <w:lang w:eastAsia="en-GB"/>
          <w14:ligatures w14:val="none"/>
        </w:rPr>
        <w:t xml:space="preserve">tendiert </w:t>
      </w:r>
      <w:r w:rsidR="006E66F9" w:rsidRPr="00DA758C">
        <w:rPr>
          <w:rFonts w:ascii="Calibri" w:eastAsia="Times New Roman" w:hAnsi="Calibri" w:cs="Calibri"/>
          <w:color w:val="auto"/>
          <w:sz w:val="22"/>
          <w:szCs w:val="22"/>
          <w:lang w:eastAsia="en-GB"/>
          <w14:ligatures w14:val="none"/>
        </w:rPr>
        <w:t xml:space="preserve">dieser </w:t>
      </w:r>
      <w:r w:rsidRPr="00DA758C">
        <w:rPr>
          <w:rFonts w:ascii="Calibri" w:eastAsia="Times New Roman" w:hAnsi="Calibri" w:cs="Calibri"/>
          <w:color w:val="auto"/>
          <w:sz w:val="22"/>
          <w:szCs w:val="22"/>
          <w:lang w:eastAsia="en-GB"/>
          <w14:ligatures w14:val="none"/>
        </w:rPr>
        <w:t xml:space="preserve">Ansatz dazu, Unternehmen zu bevorzugen, die besser positioniert sind, um Dividenden in </w:t>
      </w:r>
      <w:proofErr w:type="spellStart"/>
      <w:r w:rsidRPr="00DA758C">
        <w:rPr>
          <w:rFonts w:ascii="Calibri" w:eastAsia="Times New Roman" w:hAnsi="Calibri" w:cs="Calibri"/>
          <w:color w:val="auto"/>
          <w:sz w:val="22"/>
          <w:szCs w:val="22"/>
          <w:lang w:eastAsia="en-GB"/>
          <w14:ligatures w14:val="none"/>
        </w:rPr>
        <w:t>verschiedenen</w:t>
      </w:r>
      <w:proofErr w:type="spellEnd"/>
      <w:r w:rsidRPr="00DA758C">
        <w:rPr>
          <w:rFonts w:ascii="Calibri" w:eastAsia="Times New Roman" w:hAnsi="Calibri" w:cs="Calibri"/>
          <w:color w:val="auto"/>
          <w:sz w:val="22"/>
          <w:szCs w:val="22"/>
          <w:lang w:eastAsia="en-GB"/>
          <w14:ligatures w14:val="none"/>
        </w:rPr>
        <w:t xml:space="preserve"> </w:t>
      </w:r>
      <w:proofErr w:type="spellStart"/>
      <w:r w:rsidRPr="00DA758C">
        <w:rPr>
          <w:rFonts w:ascii="Calibri" w:eastAsia="Times New Roman" w:hAnsi="Calibri" w:cs="Calibri"/>
          <w:color w:val="auto"/>
          <w:sz w:val="22"/>
          <w:szCs w:val="22"/>
          <w:lang w:eastAsia="en-GB"/>
          <w14:ligatures w14:val="none"/>
        </w:rPr>
        <w:t>Marktphasen</w:t>
      </w:r>
      <w:proofErr w:type="spellEnd"/>
      <w:r w:rsidRPr="00DA758C">
        <w:rPr>
          <w:rFonts w:ascii="Calibri" w:eastAsia="Times New Roman" w:hAnsi="Calibri" w:cs="Calibri"/>
          <w:color w:val="auto"/>
          <w:sz w:val="22"/>
          <w:szCs w:val="22"/>
          <w:lang w:eastAsia="en-GB"/>
          <w14:ligatures w14:val="none"/>
        </w:rPr>
        <w:t xml:space="preserve"> </w:t>
      </w:r>
      <w:proofErr w:type="spellStart"/>
      <w:r w:rsidRPr="00DA758C">
        <w:rPr>
          <w:rFonts w:ascii="Calibri" w:eastAsia="Times New Roman" w:hAnsi="Calibri" w:cs="Calibri"/>
          <w:color w:val="auto"/>
          <w:sz w:val="22"/>
          <w:szCs w:val="22"/>
          <w:lang w:eastAsia="en-GB"/>
          <w14:ligatures w14:val="none"/>
        </w:rPr>
        <w:t>aufrechtzuerhalten</w:t>
      </w:r>
      <w:proofErr w:type="spellEnd"/>
      <w:r w:rsidRPr="00DA758C">
        <w:rPr>
          <w:rFonts w:ascii="Calibri" w:eastAsia="Times New Roman" w:hAnsi="Calibri" w:cs="Calibri"/>
          <w:color w:val="auto"/>
          <w:sz w:val="22"/>
          <w:szCs w:val="22"/>
          <w:lang w:eastAsia="en-GB"/>
          <w14:ligatures w14:val="none"/>
        </w:rPr>
        <w:t>.</w:t>
      </w:r>
      <w:r w:rsidR="00DA758C" w:rsidRPr="00DA758C">
        <w:rPr>
          <w:rFonts w:ascii="Calibri" w:eastAsia="Times New Roman" w:hAnsi="Calibri" w:cs="Calibri"/>
          <w:color w:val="auto"/>
          <w:sz w:val="22"/>
          <w:szCs w:val="22"/>
          <w:lang w:eastAsia="en-GB"/>
          <w14:ligatures w14:val="none"/>
        </w:rPr>
        <w:t xml:space="preserve"> </w:t>
      </w:r>
      <w:r w:rsidR="009964CB" w:rsidRPr="00DA758C">
        <w:rPr>
          <w:rFonts w:ascii="Calibri" w:eastAsia="Times New Roman" w:hAnsi="Calibri" w:cs="Calibri"/>
          <w:color w:val="auto"/>
          <w:sz w:val="22"/>
          <w:szCs w:val="22"/>
          <w:lang w:eastAsia="en-GB"/>
          <w14:ligatures w14:val="none"/>
        </w:rPr>
        <w:t xml:space="preserve">Eine </w:t>
      </w:r>
      <w:proofErr w:type="spellStart"/>
      <w:r w:rsidR="009964CB" w:rsidRPr="00DA758C">
        <w:rPr>
          <w:rFonts w:ascii="Calibri" w:eastAsia="Times New Roman" w:hAnsi="Calibri" w:cs="Calibri"/>
          <w:color w:val="auto"/>
          <w:sz w:val="22"/>
          <w:szCs w:val="22"/>
          <w:lang w:eastAsia="en-GB"/>
          <w14:ligatures w14:val="none"/>
        </w:rPr>
        <w:t>Folge</w:t>
      </w:r>
      <w:proofErr w:type="spellEnd"/>
      <w:r w:rsidR="009964CB" w:rsidRPr="00DA758C">
        <w:rPr>
          <w:rFonts w:ascii="Calibri" w:eastAsia="Times New Roman" w:hAnsi="Calibri" w:cs="Calibri"/>
          <w:color w:val="auto"/>
          <w:sz w:val="22"/>
          <w:szCs w:val="22"/>
          <w:lang w:eastAsia="en-GB"/>
          <w14:ligatures w14:val="none"/>
        </w:rPr>
        <w:t xml:space="preserve"> </w:t>
      </w:r>
      <w:r w:rsidRPr="00DA758C">
        <w:rPr>
          <w:rFonts w:ascii="Calibri" w:eastAsia="Times New Roman" w:hAnsi="Calibri" w:cs="Calibri"/>
          <w:color w:val="auto"/>
          <w:sz w:val="22"/>
          <w:szCs w:val="22"/>
          <w:lang w:eastAsia="en-GB"/>
          <w14:ligatures w14:val="none"/>
        </w:rPr>
        <w:t xml:space="preserve">dieses </w:t>
      </w:r>
      <w:proofErr w:type="spellStart"/>
      <w:r w:rsidRPr="00DA758C">
        <w:rPr>
          <w:rFonts w:ascii="Calibri" w:eastAsia="Times New Roman" w:hAnsi="Calibri" w:cs="Calibri"/>
          <w:color w:val="auto"/>
          <w:sz w:val="22"/>
          <w:szCs w:val="22"/>
          <w:lang w:eastAsia="en-GB"/>
          <w14:ligatures w14:val="none"/>
        </w:rPr>
        <w:t>Prozesses</w:t>
      </w:r>
      <w:proofErr w:type="spellEnd"/>
      <w:r w:rsidRPr="00DA758C">
        <w:rPr>
          <w:rFonts w:ascii="Calibri" w:eastAsia="Times New Roman" w:hAnsi="Calibri" w:cs="Calibri"/>
          <w:color w:val="auto"/>
          <w:sz w:val="22"/>
          <w:szCs w:val="22"/>
          <w:lang w:eastAsia="en-GB"/>
          <w14:ligatures w14:val="none"/>
        </w:rPr>
        <w:t xml:space="preserve"> </w:t>
      </w:r>
      <w:proofErr w:type="spellStart"/>
      <w:r w:rsidRPr="00DA758C">
        <w:rPr>
          <w:rFonts w:ascii="Calibri" w:eastAsia="Times New Roman" w:hAnsi="Calibri" w:cs="Calibri"/>
          <w:color w:val="auto"/>
          <w:sz w:val="22"/>
          <w:szCs w:val="22"/>
          <w:lang w:eastAsia="en-GB"/>
          <w14:ligatures w14:val="none"/>
        </w:rPr>
        <w:t>ist</w:t>
      </w:r>
      <w:proofErr w:type="spellEnd"/>
      <w:r w:rsidRPr="00DA758C">
        <w:rPr>
          <w:rFonts w:ascii="Calibri" w:eastAsia="Times New Roman" w:hAnsi="Calibri" w:cs="Calibri"/>
          <w:color w:val="auto"/>
          <w:sz w:val="22"/>
          <w:szCs w:val="22"/>
          <w:lang w:eastAsia="en-GB"/>
          <w14:ligatures w14:val="none"/>
        </w:rPr>
        <w:t xml:space="preserve">, </w:t>
      </w:r>
      <w:proofErr w:type="spellStart"/>
      <w:r w:rsidRPr="00DA758C">
        <w:rPr>
          <w:rFonts w:ascii="Calibri" w:eastAsia="Times New Roman" w:hAnsi="Calibri" w:cs="Calibri"/>
          <w:color w:val="auto"/>
          <w:sz w:val="22"/>
          <w:szCs w:val="22"/>
          <w:lang w:eastAsia="en-GB"/>
          <w14:ligatures w14:val="none"/>
        </w:rPr>
        <w:t>dass</w:t>
      </w:r>
      <w:proofErr w:type="spellEnd"/>
      <w:r w:rsidRPr="00DA758C">
        <w:rPr>
          <w:rFonts w:ascii="Calibri" w:eastAsia="Times New Roman" w:hAnsi="Calibri" w:cs="Calibri"/>
          <w:color w:val="auto"/>
          <w:sz w:val="22"/>
          <w:szCs w:val="22"/>
          <w:lang w:eastAsia="en-GB"/>
          <w14:ligatures w14:val="none"/>
        </w:rPr>
        <w:t xml:space="preserve"> er häufig zu einem geringeren Engagement im Bereich Informationstechnologie innerhalb der europäischen Allokationen führt. Dies ist keine bewusste Sektorwette, sondern spiegelt vielmehr strukturelle Unterschiede wider: Viele europäische IT-Unternehmen investieren stark in Wachstum und schütten nur geringe Dividenden aus. Für Anleger kann dies eher ein Vorteil als ein Nachteil sein, da es eine natürliche Ergänzung zu US-Aktienengagements darstellt, bei denen Technologie eine weitaus größere Rolle bei der Renditegenerierung spielt. </w:t>
      </w:r>
      <w:r w:rsidR="009964CB" w:rsidRPr="00DA758C">
        <w:rPr>
          <w:rFonts w:ascii="Calibri" w:eastAsia="Times New Roman" w:hAnsi="Calibri" w:cs="Calibri"/>
          <w:color w:val="auto"/>
          <w:sz w:val="22"/>
          <w:szCs w:val="22"/>
          <w:lang w:eastAsia="en-GB"/>
          <w14:ligatures w14:val="none"/>
        </w:rPr>
        <w:t>Auch Automobilhersteller sind im LibertyQ European Dividend Index weitgehend nicht vertreten, da ihre zyklische Natur in der Methodik benachteiligt wird. Dies war insbesondere während der durch Trump ausgelösten Volatilität nach der ersten Ankündigung von Zöllen und dem schwachen europäischen Handelsabkommen mit den USA von Vorteil.</w:t>
      </w:r>
    </w:p>
    <w:p w14:paraId="1D5525B6" w14:textId="48E52780" w:rsidR="00863352" w:rsidRPr="007A0B11" w:rsidRDefault="009964CB" w:rsidP="00E97A2A">
      <w:pPr>
        <w:pStyle w:val="StandardWeb"/>
        <w:ind w:right="543"/>
        <w:jc w:val="both"/>
        <w:rPr>
          <w:rFonts w:ascii="Calibri" w:hAnsi="Calibri" w:cs="Calibri"/>
          <w:sz w:val="22"/>
          <w:szCs w:val="22"/>
        </w:rPr>
      </w:pPr>
      <w:r w:rsidRPr="007A0B11">
        <w:rPr>
          <w:rFonts w:ascii="Calibri" w:hAnsi="Calibri" w:cs="Calibri"/>
          <w:sz w:val="22"/>
          <w:szCs w:val="22"/>
        </w:rPr>
        <w:t xml:space="preserve">Bislang </w:t>
      </w:r>
      <w:r w:rsidR="002F48BD" w:rsidRPr="007A0B11">
        <w:rPr>
          <w:rFonts w:ascii="Calibri" w:hAnsi="Calibri" w:cs="Calibri"/>
          <w:sz w:val="22"/>
          <w:szCs w:val="22"/>
        </w:rPr>
        <w:t xml:space="preserve">hat sich </w:t>
      </w:r>
      <w:r w:rsidR="00863352" w:rsidRPr="007A0B11">
        <w:rPr>
          <w:rFonts w:ascii="Calibri" w:hAnsi="Calibri" w:cs="Calibri"/>
          <w:sz w:val="22"/>
          <w:szCs w:val="22"/>
        </w:rPr>
        <w:t xml:space="preserve">diese Fokussierung auf Dividenden </w:t>
      </w:r>
      <w:r w:rsidRPr="007A0B11">
        <w:rPr>
          <w:rFonts w:ascii="Calibri" w:hAnsi="Calibri" w:cs="Calibri"/>
          <w:sz w:val="22"/>
          <w:szCs w:val="22"/>
        </w:rPr>
        <w:t xml:space="preserve">mit einem Qualitätsansatz </w:t>
      </w:r>
      <w:r w:rsidR="00863352" w:rsidRPr="007A0B11">
        <w:rPr>
          <w:rFonts w:ascii="Calibri" w:hAnsi="Calibri" w:cs="Calibri"/>
          <w:sz w:val="22"/>
          <w:szCs w:val="22"/>
        </w:rPr>
        <w:t xml:space="preserve">im Jahr 2025 </w:t>
      </w:r>
      <w:r w:rsidR="002F48BD" w:rsidRPr="007A0B11">
        <w:rPr>
          <w:rFonts w:ascii="Calibri" w:hAnsi="Calibri" w:cs="Calibri"/>
          <w:sz w:val="22"/>
          <w:szCs w:val="22"/>
        </w:rPr>
        <w:t xml:space="preserve">in volatilen Phasen als </w:t>
      </w:r>
      <w:r w:rsidR="00192B74" w:rsidRPr="007A0B11">
        <w:rPr>
          <w:rFonts w:ascii="Calibri" w:hAnsi="Calibri" w:cs="Calibri"/>
          <w:sz w:val="22"/>
          <w:szCs w:val="22"/>
        </w:rPr>
        <w:t>stabiler</w:t>
      </w:r>
      <w:r w:rsidR="002F48BD" w:rsidRPr="007A0B11">
        <w:rPr>
          <w:rFonts w:ascii="Calibri" w:hAnsi="Calibri" w:cs="Calibri"/>
          <w:sz w:val="22"/>
          <w:szCs w:val="22"/>
        </w:rPr>
        <w:t xml:space="preserve"> erwiesen </w:t>
      </w:r>
      <w:r w:rsidRPr="007A0B11">
        <w:rPr>
          <w:rFonts w:ascii="Calibri" w:hAnsi="Calibri" w:cs="Calibri"/>
          <w:sz w:val="22"/>
          <w:szCs w:val="22"/>
        </w:rPr>
        <w:t xml:space="preserve">als </w:t>
      </w:r>
      <w:r w:rsidR="002F48BD" w:rsidRPr="007A0B11">
        <w:rPr>
          <w:rFonts w:ascii="Calibri" w:hAnsi="Calibri" w:cs="Calibri"/>
          <w:sz w:val="22"/>
          <w:szCs w:val="22"/>
        </w:rPr>
        <w:t>der breitere europäische Markt</w:t>
      </w:r>
      <w:r w:rsidRPr="007A0B11">
        <w:rPr>
          <w:rFonts w:ascii="Calibri" w:hAnsi="Calibri" w:cs="Calibri"/>
          <w:sz w:val="22"/>
          <w:szCs w:val="22"/>
        </w:rPr>
        <w:t>.</w:t>
      </w:r>
    </w:p>
    <w:p w14:paraId="6D59CB0F" w14:textId="277FA15F" w:rsidR="00E575CE" w:rsidRPr="007A0B11" w:rsidRDefault="00E575CE" w:rsidP="00E97A2A">
      <w:pPr>
        <w:pStyle w:val="StandardWeb"/>
        <w:ind w:right="543"/>
        <w:jc w:val="both"/>
        <w:rPr>
          <w:rFonts w:ascii="Calibri" w:hAnsi="Calibri" w:cs="Calibri"/>
          <w:sz w:val="22"/>
          <w:szCs w:val="22"/>
        </w:rPr>
      </w:pPr>
      <w:r w:rsidRPr="007A0B11">
        <w:rPr>
          <w:rFonts w:ascii="Calibri" w:hAnsi="Calibri" w:cs="Calibri"/>
          <w:noProof/>
          <w:sz w:val="22"/>
          <w:szCs w:val="22"/>
        </w:rPr>
        <w:drawing>
          <wp:inline distT="0" distB="0" distL="0" distR="0" wp14:anchorId="31A2BBA4" wp14:editId="2855A4A2">
            <wp:extent cx="3547872" cy="2612542"/>
            <wp:effectExtent l="0" t="0" r="0" b="3810"/>
            <wp:docPr id="2106770413" name="Chart 1">
              <a:extLst xmlns:a="http://schemas.openxmlformats.org/drawingml/2006/main">
                <a:ext uri="{FF2B5EF4-FFF2-40B4-BE49-F238E27FC236}">
                  <a16:creationId xmlns:a16="http://schemas.microsoft.com/office/drawing/2014/main" id="{1A9714C0-54BC-A6FF-5D8C-73BE9BEB9F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338370" w14:textId="51AB26EB" w:rsidR="00E575CE" w:rsidRPr="00DA758C" w:rsidRDefault="00E575CE" w:rsidP="00E97A2A">
      <w:pPr>
        <w:pStyle w:val="StandardWeb"/>
        <w:ind w:right="543"/>
        <w:jc w:val="both"/>
        <w:rPr>
          <w:rFonts w:ascii="Calibri" w:hAnsi="Calibri" w:cs="Calibri"/>
          <w:sz w:val="16"/>
          <w:szCs w:val="16"/>
        </w:rPr>
      </w:pPr>
      <w:r w:rsidRPr="00DA758C">
        <w:rPr>
          <w:rFonts w:ascii="Calibri" w:hAnsi="Calibri" w:cs="Calibri"/>
          <w:sz w:val="16"/>
          <w:szCs w:val="16"/>
        </w:rPr>
        <w:t>Quelle: Bloomberg, Stand: 02.09.2025</w:t>
      </w:r>
    </w:p>
    <w:p w14:paraId="14E15B5E" w14:textId="77777777" w:rsidR="001A3DAC" w:rsidRPr="007A0B11" w:rsidRDefault="001A3DAC" w:rsidP="00E97A2A">
      <w:pPr>
        <w:pStyle w:val="berschrift5"/>
        <w:ind w:right="543"/>
        <w:jc w:val="both"/>
        <w:rPr>
          <w:rFonts w:ascii="Calibri" w:hAnsi="Calibri" w:cs="Calibri"/>
          <w:sz w:val="22"/>
          <w:szCs w:val="22"/>
        </w:rPr>
      </w:pPr>
      <w:r w:rsidRPr="007A0B11">
        <w:rPr>
          <w:rFonts w:ascii="Calibri" w:hAnsi="Calibri" w:cs="Calibri"/>
          <w:sz w:val="22"/>
          <w:szCs w:val="22"/>
        </w:rPr>
        <w:t>Fazit</w:t>
      </w:r>
    </w:p>
    <w:p w14:paraId="3E6E5A16" w14:textId="0FF66F7D" w:rsidR="006D6143" w:rsidRPr="007A0B11" w:rsidRDefault="00192B74" w:rsidP="00E97A2A">
      <w:pPr>
        <w:ind w:right="543"/>
        <w:jc w:val="both"/>
        <w:rPr>
          <w:rFonts w:ascii="Calibri" w:eastAsia="Times New Roman" w:hAnsi="Calibri" w:cs="Calibri"/>
          <w:sz w:val="22"/>
          <w:szCs w:val="22"/>
          <w:lang w:eastAsia="en-GB"/>
          <w14:ligatures w14:val="none"/>
        </w:rPr>
      </w:pPr>
      <w:r w:rsidRPr="007A0B11">
        <w:rPr>
          <w:rFonts w:ascii="Calibri" w:eastAsia="Times New Roman" w:hAnsi="Calibri" w:cs="Calibri"/>
          <w:sz w:val="22"/>
          <w:szCs w:val="22"/>
          <w:lang w:eastAsia="en-GB"/>
          <w14:ligatures w14:val="none"/>
        </w:rPr>
        <w:t xml:space="preserve">Angesichts sinkender Anleiherenditen und </w:t>
      </w:r>
      <w:r w:rsidR="009964CB" w:rsidRPr="007A0B11">
        <w:rPr>
          <w:rFonts w:ascii="Calibri" w:eastAsia="Times New Roman" w:hAnsi="Calibri" w:cs="Calibri"/>
          <w:sz w:val="22"/>
          <w:szCs w:val="22"/>
          <w:lang w:eastAsia="en-GB"/>
          <w14:ligatures w14:val="none"/>
        </w:rPr>
        <w:t xml:space="preserve">moderater </w:t>
      </w:r>
      <w:r w:rsidRPr="007A0B11">
        <w:rPr>
          <w:rFonts w:ascii="Calibri" w:eastAsia="Times New Roman" w:hAnsi="Calibri" w:cs="Calibri"/>
          <w:sz w:val="22"/>
          <w:szCs w:val="22"/>
          <w:lang w:eastAsia="en-GB"/>
          <w14:ligatures w14:val="none"/>
        </w:rPr>
        <w:t xml:space="preserve">Cash-Zinsen sind Dividenden wieder zu einer </w:t>
      </w:r>
      <w:r w:rsidR="003B03B1" w:rsidRPr="007A0B11">
        <w:rPr>
          <w:rFonts w:ascii="Calibri" w:eastAsia="Times New Roman" w:hAnsi="Calibri" w:cs="Calibri"/>
          <w:sz w:val="22"/>
          <w:szCs w:val="22"/>
          <w:lang w:eastAsia="en-GB"/>
          <w14:ligatures w14:val="none"/>
        </w:rPr>
        <w:t xml:space="preserve">potenziellen </w:t>
      </w:r>
      <w:r w:rsidRPr="007A0B11">
        <w:rPr>
          <w:rFonts w:ascii="Calibri" w:eastAsia="Times New Roman" w:hAnsi="Calibri" w:cs="Calibri"/>
          <w:sz w:val="22"/>
          <w:szCs w:val="22"/>
          <w:lang w:eastAsia="en-GB"/>
          <w14:ligatures w14:val="none"/>
        </w:rPr>
        <w:t xml:space="preserve">Einnahmequelle geworden. </w:t>
      </w:r>
      <w:r w:rsidR="006D6143" w:rsidRPr="007A0B11">
        <w:rPr>
          <w:rFonts w:ascii="Calibri" w:eastAsia="Times New Roman" w:hAnsi="Calibri" w:cs="Calibri"/>
          <w:sz w:val="22"/>
          <w:szCs w:val="22"/>
          <w:lang w:eastAsia="en-GB"/>
          <w14:ligatures w14:val="none"/>
        </w:rPr>
        <w:t>Europa zeichnet sich durch eine starke Dividendenkultur aus, mit höheren</w:t>
      </w:r>
      <w:r w:rsidR="009964CB" w:rsidRPr="007A0B11">
        <w:rPr>
          <w:rFonts w:ascii="Calibri" w:eastAsia="Times New Roman" w:hAnsi="Calibri" w:cs="Calibri"/>
          <w:sz w:val="22"/>
          <w:szCs w:val="22"/>
          <w:lang w:eastAsia="en-GB"/>
          <w14:ligatures w14:val="none"/>
        </w:rPr>
        <w:t xml:space="preserve">, aber nachhaltigen </w:t>
      </w:r>
      <w:r w:rsidR="006D6143" w:rsidRPr="007A0B11">
        <w:rPr>
          <w:rFonts w:ascii="Calibri" w:eastAsia="Times New Roman" w:hAnsi="Calibri" w:cs="Calibri"/>
          <w:sz w:val="22"/>
          <w:szCs w:val="22"/>
          <w:lang w:eastAsia="en-GB"/>
          <w14:ligatures w14:val="none"/>
        </w:rPr>
        <w:t xml:space="preserve">Ausschüttungsquoten und überdurchschnittlichen Renditen im Vergleich zu anderen entwickelten </w:t>
      </w:r>
      <w:r w:rsidR="006D6143" w:rsidRPr="007A0B11">
        <w:rPr>
          <w:rFonts w:ascii="Calibri" w:eastAsia="Times New Roman" w:hAnsi="Calibri" w:cs="Calibri"/>
          <w:sz w:val="22"/>
          <w:szCs w:val="22"/>
          <w:lang w:eastAsia="en-GB"/>
          <w14:ligatures w14:val="none"/>
        </w:rPr>
        <w:lastRenderedPageBreak/>
        <w:t>Märkten. Langfristig machen Dividenden einen großen Teil der europäischen Aktienrenditen aus, was ihre strukturelle Bedeutung unterstreicht.</w:t>
      </w:r>
    </w:p>
    <w:p w14:paraId="701BEFA0" w14:textId="2B041F23" w:rsidR="00E27DF6" w:rsidRPr="007A0B11" w:rsidRDefault="002F48BD" w:rsidP="00E97A2A">
      <w:pPr>
        <w:ind w:right="543"/>
        <w:jc w:val="both"/>
        <w:rPr>
          <w:rFonts w:ascii="Calibri" w:hAnsi="Calibri" w:cs="Calibri"/>
          <w:sz w:val="22"/>
          <w:szCs w:val="22"/>
        </w:rPr>
      </w:pPr>
      <w:r w:rsidRPr="007A0B11">
        <w:rPr>
          <w:rFonts w:ascii="Calibri" w:eastAsia="Times New Roman" w:hAnsi="Calibri" w:cs="Calibri"/>
          <w:sz w:val="22"/>
          <w:szCs w:val="22"/>
          <w:lang w:eastAsia="en-GB"/>
          <w14:ligatures w14:val="none"/>
        </w:rPr>
        <w:t xml:space="preserve">Was einen europäischen Qualitätsdividendenansatz auszeichnet, ist die zusätzliche Fokussierung auf Fundamentaldaten. Durch die Betonung von Rentabilität, Ertragsstabilität und soliden Bilanzen </w:t>
      </w:r>
      <w:r w:rsidR="009964CB" w:rsidRPr="007A0B11">
        <w:rPr>
          <w:rFonts w:ascii="Calibri" w:eastAsia="Times New Roman" w:hAnsi="Calibri" w:cs="Calibri"/>
          <w:sz w:val="22"/>
          <w:szCs w:val="22"/>
          <w:lang w:eastAsia="en-GB"/>
          <w14:ligatures w14:val="none"/>
        </w:rPr>
        <w:t xml:space="preserve">zielt diese Strategie </w:t>
      </w:r>
      <w:r w:rsidRPr="007A0B11">
        <w:rPr>
          <w:rFonts w:ascii="Calibri" w:eastAsia="Times New Roman" w:hAnsi="Calibri" w:cs="Calibri"/>
          <w:sz w:val="22"/>
          <w:szCs w:val="22"/>
          <w:lang w:eastAsia="en-GB"/>
          <w14:ligatures w14:val="none"/>
        </w:rPr>
        <w:t xml:space="preserve">darauf ab, Erträge zu erzielen, die nicht nur attraktiv, sondern auch </w:t>
      </w:r>
      <w:r w:rsidR="00192B74" w:rsidRPr="007A0B11">
        <w:rPr>
          <w:rFonts w:ascii="Calibri" w:eastAsia="Times New Roman" w:hAnsi="Calibri" w:cs="Calibri"/>
          <w:sz w:val="22"/>
          <w:szCs w:val="22"/>
          <w:lang w:eastAsia="en-GB"/>
          <w14:ligatures w14:val="none"/>
        </w:rPr>
        <w:t>nachhaltig</w:t>
      </w:r>
      <w:r w:rsidRPr="007A0B11">
        <w:rPr>
          <w:rFonts w:ascii="Calibri" w:eastAsia="Times New Roman" w:hAnsi="Calibri" w:cs="Calibri"/>
          <w:sz w:val="22"/>
          <w:szCs w:val="22"/>
          <w:lang w:eastAsia="en-GB"/>
          <w14:ligatures w14:val="none"/>
        </w:rPr>
        <w:t xml:space="preserve"> sind. Im Jahr 2025 hat </w:t>
      </w:r>
      <w:r w:rsidR="009964CB" w:rsidRPr="007A0B11">
        <w:rPr>
          <w:rFonts w:ascii="Calibri" w:eastAsia="Times New Roman" w:hAnsi="Calibri" w:cs="Calibri"/>
          <w:sz w:val="22"/>
          <w:szCs w:val="22"/>
          <w:lang w:eastAsia="en-GB"/>
          <w14:ligatures w14:val="none"/>
        </w:rPr>
        <w:t xml:space="preserve">unser </w:t>
      </w:r>
      <w:r w:rsidRPr="007A0B11">
        <w:rPr>
          <w:rFonts w:ascii="Calibri" w:eastAsia="Times New Roman" w:hAnsi="Calibri" w:cs="Calibri"/>
          <w:sz w:val="22"/>
          <w:szCs w:val="22"/>
          <w:lang w:eastAsia="en-GB"/>
          <w14:ligatures w14:val="none"/>
        </w:rPr>
        <w:t xml:space="preserve">qualitätsorientiertes Profil bereits in Zeiten der Volatilität eine größere Widerstandsfähigkeit als der breitere europäische Markt gezeigt – was unterstreicht, wie Dividenden und Qualität zusammen dazu beitragen können, die Ergebnisse bei steigender Unsicherheit zu glätten. Für globale Anleger ergibt sich daraus eine Allokation, die nicht nur als Ertragsquelle, sondern auch als defensiver Anker und Diversifikator dienen kann und das Engagement in US-Wachstums- und Technologiewerten mit der etablierten Dividendenkultur und den Qualitätsmerkmalen Europas ausgleicht. </w:t>
      </w:r>
    </w:p>
    <w:sectPr w:rsidR="00E27DF6" w:rsidRPr="007A0B11" w:rsidSect="001A3D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CA25" w14:textId="77777777" w:rsidR="00FE3B10" w:rsidRDefault="00FE3B10" w:rsidP="00704974">
      <w:pPr>
        <w:spacing w:after="0" w:line="240" w:lineRule="auto"/>
      </w:pPr>
      <w:r>
        <w:separator/>
      </w:r>
    </w:p>
  </w:endnote>
  <w:endnote w:type="continuationSeparator" w:id="0">
    <w:p w14:paraId="31F06115" w14:textId="77777777" w:rsidR="00FE3B10" w:rsidRDefault="00FE3B10" w:rsidP="00704974">
      <w:pPr>
        <w:spacing w:after="0" w:line="240" w:lineRule="auto"/>
      </w:pPr>
      <w:r>
        <w:continuationSeparator/>
      </w:r>
    </w:p>
  </w:endnote>
  <w:endnote w:id="1">
    <w:p w14:paraId="5D110FF5" w14:textId="77777777" w:rsidR="00823DF6" w:rsidRPr="00DA758C" w:rsidRDefault="00823DF6" w:rsidP="00823DF6">
      <w:pPr>
        <w:pStyle w:val="Endnotentext"/>
        <w:rPr>
          <w:sz w:val="16"/>
          <w:szCs w:val="16"/>
        </w:rPr>
      </w:pPr>
      <w:r w:rsidRPr="00DA758C">
        <w:rPr>
          <w:rStyle w:val="Endnotenzeichen"/>
          <w:sz w:val="16"/>
          <w:szCs w:val="16"/>
        </w:rPr>
        <w:endnoteRef/>
      </w:r>
      <w:r w:rsidRPr="00DA758C">
        <w:rPr>
          <w:sz w:val="16"/>
          <w:szCs w:val="16"/>
        </w:rPr>
        <w:t xml:space="preserve"> CNBC, 2025</w:t>
      </w:r>
    </w:p>
  </w:endnote>
  <w:endnote w:id="2">
    <w:p w14:paraId="3510129F" w14:textId="39B79D25" w:rsidR="00704974" w:rsidRPr="00DA758C" w:rsidRDefault="00704974">
      <w:pPr>
        <w:pStyle w:val="Endnotentext"/>
        <w:rPr>
          <w:sz w:val="16"/>
          <w:szCs w:val="16"/>
        </w:rPr>
      </w:pPr>
      <w:r w:rsidRPr="00DA758C">
        <w:rPr>
          <w:rStyle w:val="Endnotenzeichen"/>
          <w:sz w:val="16"/>
          <w:szCs w:val="16"/>
        </w:rPr>
        <w:endnoteRef/>
      </w:r>
      <w:r w:rsidRPr="00DA758C">
        <w:rPr>
          <w:sz w:val="16"/>
          <w:szCs w:val="16"/>
        </w:rPr>
        <w:t xml:space="preserve"> Bloomberg, MSCI Europe Index und MSCI Europe Net Total Return Index, </w:t>
      </w:r>
      <w:r w:rsidR="00D5140B" w:rsidRPr="00DA758C">
        <w:rPr>
          <w:sz w:val="16"/>
          <w:szCs w:val="16"/>
        </w:rPr>
        <w:t>September 2025</w:t>
      </w:r>
    </w:p>
  </w:endnote>
  <w:endnote w:id="3">
    <w:p w14:paraId="1CDD4A8D" w14:textId="77777777" w:rsidR="00DA758C" w:rsidRDefault="00704974">
      <w:pPr>
        <w:pStyle w:val="Endnotentext"/>
        <w:rPr>
          <w:sz w:val="16"/>
          <w:szCs w:val="16"/>
        </w:rPr>
      </w:pPr>
      <w:r w:rsidRPr="00DA758C">
        <w:rPr>
          <w:rStyle w:val="Endnotenzeichen"/>
          <w:sz w:val="16"/>
          <w:szCs w:val="16"/>
        </w:rPr>
        <w:endnoteRef/>
      </w:r>
      <w:r w:rsidRPr="00DA758C">
        <w:rPr>
          <w:sz w:val="16"/>
          <w:szCs w:val="16"/>
        </w:rPr>
        <w:t xml:space="preserve"> Bloomberg, 10-Jahres-Durchschnitt der Dividendenausschüttungsquote des MSCI Europe Index, MSCI USA Index und MSCI Japan Index, </w:t>
      </w:r>
    </w:p>
    <w:p w14:paraId="3077F107" w14:textId="66788C5B" w:rsidR="00704974" w:rsidRPr="00DA758C" w:rsidRDefault="00DA758C">
      <w:pPr>
        <w:pStyle w:val="Endnotentext"/>
        <w:rPr>
          <w:sz w:val="16"/>
          <w:szCs w:val="16"/>
        </w:rPr>
      </w:pPr>
      <w:r>
        <w:rPr>
          <w:sz w:val="16"/>
          <w:szCs w:val="16"/>
        </w:rPr>
        <w:t xml:space="preserve">  </w:t>
      </w:r>
      <w:r w:rsidR="00D5140B" w:rsidRPr="00DA758C">
        <w:rPr>
          <w:sz w:val="16"/>
          <w:szCs w:val="16"/>
        </w:rPr>
        <w:t>Stand:</w:t>
      </w:r>
      <w:r>
        <w:rPr>
          <w:sz w:val="16"/>
          <w:szCs w:val="16"/>
        </w:rPr>
        <w:t xml:space="preserve"> </w:t>
      </w:r>
      <w:r w:rsidR="00D5140B" w:rsidRPr="00DA758C">
        <w:rPr>
          <w:sz w:val="16"/>
          <w:szCs w:val="16"/>
        </w:rPr>
        <w:t>04. September 2025</w:t>
      </w:r>
    </w:p>
  </w:endnote>
  <w:endnote w:id="4">
    <w:p w14:paraId="43DB29D7" w14:textId="6946E8EC" w:rsidR="00B318B0" w:rsidRPr="00DA758C" w:rsidRDefault="00B318B0">
      <w:pPr>
        <w:pStyle w:val="Endnotentext"/>
        <w:rPr>
          <w:sz w:val="16"/>
          <w:szCs w:val="16"/>
        </w:rPr>
      </w:pPr>
      <w:r w:rsidRPr="00DA758C">
        <w:rPr>
          <w:rStyle w:val="Endnotenzeichen"/>
          <w:sz w:val="16"/>
          <w:szCs w:val="16"/>
        </w:rPr>
        <w:endnoteRef/>
      </w:r>
      <w:r w:rsidRPr="00DA758C">
        <w:rPr>
          <w:sz w:val="16"/>
          <w:szCs w:val="16"/>
        </w:rPr>
        <w:t xml:space="preserve"> Datenportal der EZB, Europäische Zentralbank, 2025</w:t>
      </w:r>
    </w:p>
  </w:endnote>
  <w:endnote w:id="5">
    <w:p w14:paraId="698AD98A" w14:textId="3AA828FE" w:rsidR="00D5140B" w:rsidRDefault="00D5140B">
      <w:pPr>
        <w:pStyle w:val="Endnotentext"/>
      </w:pPr>
      <w:r w:rsidRPr="00DA758C">
        <w:rPr>
          <w:rStyle w:val="Endnotenzeichen"/>
          <w:sz w:val="16"/>
          <w:szCs w:val="16"/>
        </w:rPr>
        <w:endnoteRef/>
      </w:r>
      <w:r w:rsidRPr="00DA758C">
        <w:rPr>
          <w:sz w:val="16"/>
          <w:szCs w:val="16"/>
        </w:rPr>
        <w:t xml:space="preserve"> Bloomberg, </w:t>
      </w:r>
      <w:r w:rsidR="00823DF6" w:rsidRPr="00DA758C">
        <w:rPr>
          <w:sz w:val="16"/>
          <w:szCs w:val="16"/>
        </w:rPr>
        <w:t xml:space="preserve">LibertyQ European Dividend </w:t>
      </w:r>
      <w:r w:rsidRPr="00DA758C">
        <w:rPr>
          <w:sz w:val="16"/>
          <w:szCs w:val="16"/>
        </w:rPr>
        <w:t>Index und MSCI Europe Index, Stand: 03.09.2025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17C9" w14:textId="77777777" w:rsidR="00FE3B10" w:rsidRDefault="00FE3B10" w:rsidP="00704974">
      <w:pPr>
        <w:spacing w:after="0" w:line="240" w:lineRule="auto"/>
      </w:pPr>
      <w:r>
        <w:separator/>
      </w:r>
    </w:p>
  </w:footnote>
  <w:footnote w:type="continuationSeparator" w:id="0">
    <w:p w14:paraId="029C66A8" w14:textId="77777777" w:rsidR="00FE3B10" w:rsidRDefault="00FE3B10" w:rsidP="00704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72DB"/>
    <w:multiLevelType w:val="multilevel"/>
    <w:tmpl w:val="A9A0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32C49"/>
    <w:multiLevelType w:val="multilevel"/>
    <w:tmpl w:val="5524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B2AE9"/>
    <w:multiLevelType w:val="multilevel"/>
    <w:tmpl w:val="ECA8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37718"/>
    <w:multiLevelType w:val="multilevel"/>
    <w:tmpl w:val="533C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203BF"/>
    <w:multiLevelType w:val="multilevel"/>
    <w:tmpl w:val="D57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A34F4"/>
    <w:multiLevelType w:val="multilevel"/>
    <w:tmpl w:val="78EC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013089">
    <w:abstractNumId w:val="0"/>
  </w:num>
  <w:num w:numId="2" w16cid:durableId="395472404">
    <w:abstractNumId w:val="4"/>
  </w:num>
  <w:num w:numId="3" w16cid:durableId="338390001">
    <w:abstractNumId w:val="2"/>
  </w:num>
  <w:num w:numId="4" w16cid:durableId="1366366722">
    <w:abstractNumId w:val="5"/>
  </w:num>
  <w:num w:numId="5" w16cid:durableId="1119378851">
    <w:abstractNumId w:val="3"/>
  </w:num>
  <w:num w:numId="6" w16cid:durableId="812143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AC"/>
    <w:rsid w:val="00020024"/>
    <w:rsid w:val="000921AF"/>
    <w:rsid w:val="000925B6"/>
    <w:rsid w:val="000D1C6B"/>
    <w:rsid w:val="000E5D95"/>
    <w:rsid w:val="000F5D53"/>
    <w:rsid w:val="00106F51"/>
    <w:rsid w:val="001615F5"/>
    <w:rsid w:val="00185B0B"/>
    <w:rsid w:val="00187E0E"/>
    <w:rsid w:val="00192B74"/>
    <w:rsid w:val="001A3DAC"/>
    <w:rsid w:val="001A7AF6"/>
    <w:rsid w:val="001B226B"/>
    <w:rsid w:val="001E344E"/>
    <w:rsid w:val="001E6A9D"/>
    <w:rsid w:val="001F1E02"/>
    <w:rsid w:val="00203D27"/>
    <w:rsid w:val="00210413"/>
    <w:rsid w:val="00235281"/>
    <w:rsid w:val="00247D58"/>
    <w:rsid w:val="00266E73"/>
    <w:rsid w:val="00280445"/>
    <w:rsid w:val="002C7C2B"/>
    <w:rsid w:val="002D3EFE"/>
    <w:rsid w:val="002F48BD"/>
    <w:rsid w:val="00316625"/>
    <w:rsid w:val="00373DD2"/>
    <w:rsid w:val="0037464B"/>
    <w:rsid w:val="00391693"/>
    <w:rsid w:val="003B03B1"/>
    <w:rsid w:val="003B7852"/>
    <w:rsid w:val="0041537F"/>
    <w:rsid w:val="00452ABA"/>
    <w:rsid w:val="00462782"/>
    <w:rsid w:val="004743FB"/>
    <w:rsid w:val="004E17AF"/>
    <w:rsid w:val="004E5633"/>
    <w:rsid w:val="005775D7"/>
    <w:rsid w:val="005A1EB7"/>
    <w:rsid w:val="005B3AE9"/>
    <w:rsid w:val="005C707F"/>
    <w:rsid w:val="00660F6E"/>
    <w:rsid w:val="006D6143"/>
    <w:rsid w:val="006E0577"/>
    <w:rsid w:val="006E66F9"/>
    <w:rsid w:val="00704974"/>
    <w:rsid w:val="007132EB"/>
    <w:rsid w:val="00721877"/>
    <w:rsid w:val="00725E57"/>
    <w:rsid w:val="007870E0"/>
    <w:rsid w:val="007A05FC"/>
    <w:rsid w:val="007A0B11"/>
    <w:rsid w:val="007B0138"/>
    <w:rsid w:val="007B142C"/>
    <w:rsid w:val="007E2D14"/>
    <w:rsid w:val="00823DF6"/>
    <w:rsid w:val="00841677"/>
    <w:rsid w:val="00863352"/>
    <w:rsid w:val="00887E10"/>
    <w:rsid w:val="008B6102"/>
    <w:rsid w:val="008D6498"/>
    <w:rsid w:val="008E2155"/>
    <w:rsid w:val="008F3B16"/>
    <w:rsid w:val="00946D72"/>
    <w:rsid w:val="009817BC"/>
    <w:rsid w:val="009964CB"/>
    <w:rsid w:val="009C2087"/>
    <w:rsid w:val="009F2585"/>
    <w:rsid w:val="00A11996"/>
    <w:rsid w:val="00A7591A"/>
    <w:rsid w:val="00AD5CAF"/>
    <w:rsid w:val="00B318B0"/>
    <w:rsid w:val="00B4256C"/>
    <w:rsid w:val="00B7403E"/>
    <w:rsid w:val="00C40E5B"/>
    <w:rsid w:val="00CC7770"/>
    <w:rsid w:val="00D26EBD"/>
    <w:rsid w:val="00D37436"/>
    <w:rsid w:val="00D5140B"/>
    <w:rsid w:val="00D736D1"/>
    <w:rsid w:val="00D75757"/>
    <w:rsid w:val="00DA758C"/>
    <w:rsid w:val="00DB1C2E"/>
    <w:rsid w:val="00DC11B2"/>
    <w:rsid w:val="00E11D38"/>
    <w:rsid w:val="00E20A68"/>
    <w:rsid w:val="00E27DF6"/>
    <w:rsid w:val="00E31A76"/>
    <w:rsid w:val="00E429B4"/>
    <w:rsid w:val="00E575CE"/>
    <w:rsid w:val="00E7536F"/>
    <w:rsid w:val="00E97A2A"/>
    <w:rsid w:val="00F00A87"/>
    <w:rsid w:val="00F53C79"/>
    <w:rsid w:val="00F8346E"/>
    <w:rsid w:val="00FE3B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114B"/>
  <w15:chartTrackingRefBased/>
  <w15:docId w15:val="{3CDC4E60-AE85-4A3C-B997-B146F62E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E10"/>
  </w:style>
  <w:style w:type="paragraph" w:styleId="berschrift1">
    <w:name w:val="heading 1"/>
    <w:basedOn w:val="Standard"/>
    <w:next w:val="Standard"/>
    <w:link w:val="berschrift1Zchn"/>
    <w:uiPriority w:val="9"/>
    <w:qFormat/>
    <w:rsid w:val="00887E10"/>
    <w:pPr>
      <w:keepNext/>
      <w:keepLines/>
      <w:spacing w:before="360" w:after="80"/>
      <w:outlineLvl w:val="0"/>
    </w:pPr>
    <w:rPr>
      <w:rFonts w:asciiTheme="majorHAnsi" w:eastAsiaTheme="majorEastAsia" w:hAnsiTheme="majorHAnsi" w:cstheme="majorBidi"/>
      <w:color w:val="0039E8" w:themeColor="accent1" w:themeShade="BF"/>
      <w:sz w:val="40"/>
      <w:szCs w:val="40"/>
    </w:rPr>
  </w:style>
  <w:style w:type="paragraph" w:styleId="berschrift2">
    <w:name w:val="heading 2"/>
    <w:basedOn w:val="Standard"/>
    <w:next w:val="Standard"/>
    <w:link w:val="berschrift2Zchn"/>
    <w:uiPriority w:val="9"/>
    <w:unhideWhenUsed/>
    <w:qFormat/>
    <w:rsid w:val="00887E10"/>
    <w:pPr>
      <w:keepNext/>
      <w:keepLines/>
      <w:spacing w:before="160" w:after="80"/>
      <w:outlineLvl w:val="1"/>
    </w:pPr>
    <w:rPr>
      <w:rFonts w:asciiTheme="majorHAnsi" w:eastAsiaTheme="majorEastAsia" w:hAnsiTheme="majorHAnsi" w:cstheme="majorBidi"/>
      <w:color w:val="0039E8" w:themeColor="accent1" w:themeShade="BF"/>
      <w:sz w:val="32"/>
      <w:szCs w:val="32"/>
    </w:rPr>
  </w:style>
  <w:style w:type="paragraph" w:styleId="berschrift3">
    <w:name w:val="heading 3"/>
    <w:basedOn w:val="Standard"/>
    <w:next w:val="Standard"/>
    <w:link w:val="berschrift3Zchn"/>
    <w:uiPriority w:val="9"/>
    <w:unhideWhenUsed/>
    <w:qFormat/>
    <w:rsid w:val="00887E10"/>
    <w:pPr>
      <w:keepNext/>
      <w:keepLines/>
      <w:spacing w:before="160" w:after="80"/>
      <w:outlineLvl w:val="2"/>
    </w:pPr>
    <w:rPr>
      <w:rFonts w:eastAsiaTheme="majorEastAsia" w:cstheme="majorBidi"/>
      <w:color w:val="0039E8" w:themeColor="accent1" w:themeShade="BF"/>
      <w:sz w:val="28"/>
      <w:szCs w:val="28"/>
    </w:rPr>
  </w:style>
  <w:style w:type="paragraph" w:styleId="berschrift4">
    <w:name w:val="heading 4"/>
    <w:basedOn w:val="Standard"/>
    <w:next w:val="Standard"/>
    <w:link w:val="berschrift4Zchn"/>
    <w:uiPriority w:val="9"/>
    <w:unhideWhenUsed/>
    <w:qFormat/>
    <w:rsid w:val="00887E10"/>
    <w:pPr>
      <w:keepNext/>
      <w:keepLines/>
      <w:spacing w:before="80" w:after="40"/>
      <w:outlineLvl w:val="3"/>
    </w:pPr>
    <w:rPr>
      <w:rFonts w:eastAsiaTheme="majorEastAsia" w:cstheme="majorBidi"/>
      <w:i/>
      <w:iCs/>
      <w:color w:val="0039E8" w:themeColor="accent1" w:themeShade="BF"/>
    </w:rPr>
  </w:style>
  <w:style w:type="paragraph" w:styleId="berschrift5">
    <w:name w:val="heading 5"/>
    <w:basedOn w:val="Standard"/>
    <w:next w:val="Standard"/>
    <w:link w:val="berschrift5Zchn"/>
    <w:uiPriority w:val="9"/>
    <w:unhideWhenUsed/>
    <w:qFormat/>
    <w:rsid w:val="00887E10"/>
    <w:pPr>
      <w:keepNext/>
      <w:keepLines/>
      <w:spacing w:before="80" w:after="40"/>
      <w:outlineLvl w:val="4"/>
    </w:pPr>
    <w:rPr>
      <w:rFonts w:eastAsiaTheme="majorEastAsia" w:cstheme="majorBidi"/>
      <w:color w:val="0039E8" w:themeColor="accent1" w:themeShade="BF"/>
    </w:rPr>
  </w:style>
  <w:style w:type="paragraph" w:styleId="berschrift6">
    <w:name w:val="heading 6"/>
    <w:basedOn w:val="Standard"/>
    <w:next w:val="Standard"/>
    <w:link w:val="berschrift6Zchn"/>
    <w:uiPriority w:val="9"/>
    <w:semiHidden/>
    <w:unhideWhenUsed/>
    <w:qFormat/>
    <w:rsid w:val="00887E1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7E1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7E1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7E1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7E10"/>
    <w:rPr>
      <w:rFonts w:asciiTheme="majorHAnsi" w:eastAsiaTheme="majorEastAsia" w:hAnsiTheme="majorHAnsi" w:cstheme="majorBidi"/>
      <w:color w:val="0039E8" w:themeColor="accent1" w:themeShade="BF"/>
      <w:sz w:val="40"/>
      <w:szCs w:val="40"/>
    </w:rPr>
  </w:style>
  <w:style w:type="character" w:customStyle="1" w:styleId="berschrift2Zchn">
    <w:name w:val="Überschrift 2 Zchn"/>
    <w:basedOn w:val="Absatz-Standardschriftart"/>
    <w:link w:val="berschrift2"/>
    <w:uiPriority w:val="9"/>
    <w:rsid w:val="00887E10"/>
    <w:rPr>
      <w:rFonts w:asciiTheme="majorHAnsi" w:eastAsiaTheme="majorEastAsia" w:hAnsiTheme="majorHAnsi" w:cstheme="majorBidi"/>
      <w:color w:val="0039E8" w:themeColor="accent1" w:themeShade="BF"/>
      <w:sz w:val="32"/>
      <w:szCs w:val="32"/>
    </w:rPr>
  </w:style>
  <w:style w:type="character" w:customStyle="1" w:styleId="berschrift3Zchn">
    <w:name w:val="Überschrift 3 Zchn"/>
    <w:basedOn w:val="Absatz-Standardschriftart"/>
    <w:link w:val="berschrift3"/>
    <w:uiPriority w:val="9"/>
    <w:rsid w:val="00887E10"/>
    <w:rPr>
      <w:rFonts w:eastAsiaTheme="majorEastAsia" w:cstheme="majorBidi"/>
      <w:color w:val="0039E8" w:themeColor="accent1" w:themeShade="BF"/>
      <w:sz w:val="28"/>
      <w:szCs w:val="28"/>
    </w:rPr>
  </w:style>
  <w:style w:type="character" w:customStyle="1" w:styleId="berschrift4Zchn">
    <w:name w:val="Überschrift 4 Zchn"/>
    <w:basedOn w:val="Absatz-Standardschriftart"/>
    <w:link w:val="berschrift4"/>
    <w:uiPriority w:val="9"/>
    <w:rsid w:val="00887E10"/>
    <w:rPr>
      <w:rFonts w:eastAsiaTheme="majorEastAsia" w:cstheme="majorBidi"/>
      <w:i/>
      <w:iCs/>
      <w:color w:val="0039E8" w:themeColor="accent1" w:themeShade="BF"/>
    </w:rPr>
  </w:style>
  <w:style w:type="character" w:customStyle="1" w:styleId="berschrift5Zchn">
    <w:name w:val="Überschrift 5 Zchn"/>
    <w:basedOn w:val="Absatz-Standardschriftart"/>
    <w:link w:val="berschrift5"/>
    <w:uiPriority w:val="9"/>
    <w:rsid w:val="00887E10"/>
    <w:rPr>
      <w:rFonts w:eastAsiaTheme="majorEastAsia" w:cstheme="majorBidi"/>
      <w:color w:val="0039E8" w:themeColor="accent1" w:themeShade="BF"/>
    </w:rPr>
  </w:style>
  <w:style w:type="character" w:customStyle="1" w:styleId="berschrift6Zchn">
    <w:name w:val="Überschrift 6 Zchn"/>
    <w:basedOn w:val="Absatz-Standardschriftart"/>
    <w:link w:val="berschrift6"/>
    <w:uiPriority w:val="9"/>
    <w:semiHidden/>
    <w:rsid w:val="00887E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7E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7E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7E10"/>
    <w:rPr>
      <w:rFonts w:eastAsiaTheme="majorEastAsia" w:cstheme="majorBidi"/>
      <w:color w:val="272727" w:themeColor="text1" w:themeTint="D8"/>
    </w:rPr>
  </w:style>
  <w:style w:type="paragraph" w:styleId="Titel">
    <w:name w:val="Title"/>
    <w:basedOn w:val="Standard"/>
    <w:next w:val="Standard"/>
    <w:link w:val="TitelZchn"/>
    <w:uiPriority w:val="10"/>
    <w:qFormat/>
    <w:rsid w:val="00887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7E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7E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7E10"/>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887E10"/>
    <w:pPr>
      <w:ind w:left="720"/>
      <w:contextualSpacing/>
    </w:pPr>
  </w:style>
  <w:style w:type="paragraph" w:styleId="Zitat">
    <w:name w:val="Quote"/>
    <w:basedOn w:val="Standard"/>
    <w:next w:val="Standard"/>
    <w:link w:val="ZitatZchn"/>
    <w:uiPriority w:val="29"/>
    <w:qFormat/>
    <w:rsid w:val="00887E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7E10"/>
    <w:rPr>
      <w:i/>
      <w:iCs/>
      <w:color w:val="404040" w:themeColor="text1" w:themeTint="BF"/>
    </w:rPr>
  </w:style>
  <w:style w:type="paragraph" w:styleId="IntensivesZitat">
    <w:name w:val="Intense Quote"/>
    <w:basedOn w:val="Standard"/>
    <w:next w:val="Standard"/>
    <w:link w:val="IntensivesZitatZchn"/>
    <w:uiPriority w:val="30"/>
    <w:qFormat/>
    <w:rsid w:val="00887E10"/>
    <w:pPr>
      <w:pBdr>
        <w:top w:val="single" w:sz="4" w:space="10" w:color="0039E8" w:themeColor="accent1" w:themeShade="BF"/>
        <w:bottom w:val="single" w:sz="4" w:space="10" w:color="0039E8" w:themeColor="accent1" w:themeShade="BF"/>
      </w:pBdr>
      <w:spacing w:before="360" w:after="360"/>
      <w:ind w:left="864" w:right="864"/>
      <w:jc w:val="center"/>
    </w:pPr>
    <w:rPr>
      <w:i/>
      <w:iCs/>
      <w:color w:val="0039E8" w:themeColor="accent1" w:themeShade="BF"/>
    </w:rPr>
  </w:style>
  <w:style w:type="character" w:customStyle="1" w:styleId="IntensivesZitatZchn">
    <w:name w:val="Intensives Zitat Zchn"/>
    <w:basedOn w:val="Absatz-Standardschriftart"/>
    <w:link w:val="IntensivesZitat"/>
    <w:uiPriority w:val="30"/>
    <w:rsid w:val="00887E10"/>
    <w:rPr>
      <w:i/>
      <w:iCs/>
      <w:color w:val="0039E8" w:themeColor="accent1" w:themeShade="BF"/>
    </w:rPr>
  </w:style>
  <w:style w:type="character" w:styleId="IntensiveHervorhebung">
    <w:name w:val="Intense Emphasis"/>
    <w:basedOn w:val="Absatz-Standardschriftart"/>
    <w:uiPriority w:val="21"/>
    <w:qFormat/>
    <w:rsid w:val="00887E10"/>
    <w:rPr>
      <w:i/>
      <w:iCs/>
      <w:color w:val="0039E8" w:themeColor="accent1" w:themeShade="BF"/>
    </w:rPr>
  </w:style>
  <w:style w:type="character" w:styleId="IntensiverVerweis">
    <w:name w:val="Intense Reference"/>
    <w:basedOn w:val="Absatz-Standardschriftart"/>
    <w:uiPriority w:val="32"/>
    <w:qFormat/>
    <w:rsid w:val="00887E10"/>
    <w:rPr>
      <w:b/>
      <w:bCs/>
      <w:smallCaps/>
      <w:color w:val="0039E8" w:themeColor="accent1" w:themeShade="BF"/>
      <w:spacing w:val="5"/>
    </w:rPr>
  </w:style>
  <w:style w:type="paragraph" w:styleId="StandardWeb">
    <w:name w:val="Normal (Web)"/>
    <w:basedOn w:val="Standard"/>
    <w:uiPriority w:val="99"/>
    <w:unhideWhenUsed/>
    <w:rsid w:val="001A3DAC"/>
    <w:pPr>
      <w:spacing w:before="100" w:beforeAutospacing="1" w:after="100" w:afterAutospacing="1" w:line="240" w:lineRule="auto"/>
    </w:pPr>
    <w:rPr>
      <w:rFonts w:ascii="Times New Roman" w:eastAsia="Times New Roman" w:hAnsi="Times New Roman" w:cs="Times New Roman"/>
      <w:lang w:eastAsia="en-GB"/>
      <w14:ligatures w14:val="none"/>
    </w:rPr>
  </w:style>
  <w:style w:type="character" w:styleId="Fett">
    <w:name w:val="Strong"/>
    <w:basedOn w:val="Absatz-Standardschriftart"/>
    <w:uiPriority w:val="22"/>
    <w:qFormat/>
    <w:rsid w:val="001A3DAC"/>
    <w:rPr>
      <w:b/>
      <w:bCs/>
    </w:rPr>
  </w:style>
  <w:style w:type="character" w:styleId="Hervorhebung">
    <w:name w:val="Emphasis"/>
    <w:basedOn w:val="Absatz-Standardschriftart"/>
    <w:uiPriority w:val="20"/>
    <w:qFormat/>
    <w:rsid w:val="001A3DAC"/>
    <w:rPr>
      <w:i/>
      <w:iCs/>
    </w:rPr>
  </w:style>
  <w:style w:type="paragraph" w:styleId="Endnotentext">
    <w:name w:val="endnote text"/>
    <w:basedOn w:val="Standard"/>
    <w:link w:val="EndnotentextZchn"/>
    <w:uiPriority w:val="99"/>
    <w:semiHidden/>
    <w:unhideWhenUsed/>
    <w:rsid w:val="0070497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04974"/>
    <w:rPr>
      <w:sz w:val="20"/>
      <w:szCs w:val="20"/>
    </w:rPr>
  </w:style>
  <w:style w:type="character" w:styleId="Endnotenzeichen">
    <w:name w:val="endnote reference"/>
    <w:basedOn w:val="Absatz-Standardschriftart"/>
    <w:uiPriority w:val="99"/>
    <w:semiHidden/>
    <w:unhideWhenUsed/>
    <w:rsid w:val="00704974"/>
    <w:rPr>
      <w:vertAlign w:val="superscript"/>
    </w:rPr>
  </w:style>
  <w:style w:type="paragraph" w:styleId="berarbeitung">
    <w:name w:val="Revision"/>
    <w:hidden/>
    <w:uiPriority w:val="99"/>
    <w:semiHidden/>
    <w:rsid w:val="00E20A68"/>
    <w:pPr>
      <w:spacing w:after="0" w:line="240" w:lineRule="auto"/>
    </w:pPr>
  </w:style>
  <w:style w:type="character" w:customStyle="1" w:styleId="apple-converted-space">
    <w:name w:val="apple-converted-space"/>
    <w:basedOn w:val="Absatz-Standardschriftart"/>
    <w:rsid w:val="008E2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[Book1]Sheet2!$B$1</c:f>
              <c:strCache>
                <c:ptCount val="1"/>
                <c:pt idx="0">
                  <c:v>Europäische Aktien</c:v>
                </c:pt>
              </c:strCache>
            </c:strRef>
          </c:tx>
          <c:spPr>
            <a:solidFill>
              <a:schemeClr val="accent1"/>
            </a:solidFill>
            <a:ln>
              <a:noFill/>
            </a:ln>
            <a:effectLst/>
          </c:spPr>
          <c:invertIfNegative val="0"/>
          <c:dLbls>
            <c:dLbl>
              <c:idx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39EF-4789-AFD5-4F9E43D73E89}"/>
                </c:ext>
              </c:extLst>
            </c:dLbl>
            <c:dLbl>
              <c:idx val="1"/>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4-39EF-4789-AFD5-4F9E43D73E89}"/>
                </c:ext>
              </c:extLst>
            </c:dLbl>
            <c:dLbl>
              <c:idx val="2"/>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39EF-4789-AFD5-4F9E43D73E8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[Book1]Sheet2!$A$2:$A$4</c:f>
              <c:strCache>
                <c:ptCount val="3"/>
                <c:pt idx="0">
                  <c:v>2023</c:v>
                </c:pt>
                <c:pt idx="1">
                  <c:v>2024</c:v>
                </c:pt>
                <c:pt idx="2">
                  <c:v>2025 (Stand: 25. August)</c:v>
                </c:pt>
              </c:strCache>
            </c:strRef>
          </c:cat>
          <c:val>
            <c:numRef>
              <c:f>[Book1]Sheet2!$B$2:$B$4</c:f>
              <c:numCache>
                <c:formatCode>General</c:formatCode>
                <c:ptCount val="3"/>
                <c:pt idx="0">
                  <c:v>3.31</c:v>
                </c:pt>
                <c:pt idx="1">
                  <c:v>3.37</c:v>
                </c:pt>
                <c:pt idx="2">
                  <c:v>3.12</c:v>
                </c:pt>
              </c:numCache>
            </c:numRef>
          </c:val>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39EF-4789-AFD5-4F9E43D73E89}"/>
            </c:ext>
          </c:extLst>
        </c:ser>
        <c:ser>
          <c:idx val="1"/>
          <c:order val="1"/>
          <c:tx>
            <c:strRef>
              <c:f>[Book1]Sheet2!$C$1</c:f>
              <c:strCache>
                <c:ptCount val="1"/>
                <c:pt idx="0">
                  <c:v>Europäische Anleihe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[Book1]Sheet2!$A$2:$A$4</c:f>
              <c:strCache>
                <c:ptCount val="3"/>
                <c:pt idx="0">
                  <c:v>2023</c:v>
                </c:pt>
                <c:pt idx="1">
                  <c:v>2024</c:v>
                </c:pt>
                <c:pt idx="2">
                  <c:v>2025 (Stand: 25. August)</c:v>
                </c:pt>
              </c:strCache>
            </c:strRef>
          </c:cat>
          <c:val>
            <c:numRef>
              <c:f>[Book1]Sheet2!$C$2:$C$4</c:f>
              <c:numCache>
                <c:formatCode>General</c:formatCode>
                <c:ptCount val="3"/>
                <c:pt idx="0">
                  <c:v>2.87</c:v>
                </c:pt>
                <c:pt idx="1">
                  <c:v>2.81</c:v>
                </c:pt>
                <c:pt idx="2">
                  <c:v>2.89</c:v>
                </c:pt>
              </c:numCache>
            </c:numRef>
          </c:val>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39EF-4789-AFD5-4F9E43D73E89}"/>
            </c:ext>
          </c:extLst>
        </c:ser>
        <c:ser>
          <c:idx val="2"/>
          <c:order val="2"/>
          <c:tx>
            <c:strRef>
              <c:f>[Book1]Sheet2!$D$1</c:f>
              <c:strCache>
                <c:ptCount val="1"/>
                <c:pt idx="0">
                  <c:v>Barmittel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[Book1]Sheet2!$A$2:$A$4</c:f>
              <c:strCache>
                <c:ptCount val="3"/>
                <c:pt idx="0">
                  <c:v>2023</c:v>
                </c:pt>
                <c:pt idx="1">
                  <c:v>2024</c:v>
                </c:pt>
                <c:pt idx="2">
                  <c:v>2025 (Stand: 25. August)</c:v>
                </c:pt>
              </c:strCache>
            </c:strRef>
          </c:cat>
          <c:val>
            <c:numRef>
              <c:f>[Book1]Sheet2!$D$2:$D$4</c:f>
              <c:numCache>
                <c:formatCode>General</c:formatCode>
                <c:ptCount val="3"/>
                <c:pt idx="0">
                  <c:v>3.85</c:v>
                </c:pt>
                <c:pt idx="1">
                  <c:v>2.85</c:v>
                </c:pt>
                <c:pt idx="2">
                  <c:v>1.88</c:v>
                </c:pt>
              </c:numCache>
            </c:numRef>
          </c:val>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39EF-4789-AFD5-4F9E43D73E89}"/>
            </c:ext>
          </c:extLst>
        </c:ser>
        <c:dLbls>
          <c:dLblPos val="outEnd"/>
          <c:showLegendKey val="0"/>
          <c:showVal val="1"/>
          <c:showCatName val="0"/>
          <c:showSerName val="0"/>
          <c:showPercent val="0"/>
          <c:showBubbleSize val="0"/>
        </c:dLbls>
        <c:gapWidth val="219"/>
        <c:overlap val="-27"/>
        <c:axId val="1896895680"/>
        <c:axId val="1896898080"/>
      </c:barChart>
      <c:catAx>
        <c:axId val="189689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96898080"/>
        <c:crosses val="autoZero"/>
        <c:auto val="1"/>
        <c:lblAlgn val="ctr"/>
        <c:lblOffset val="100"/>
        <c:noMultiLvlLbl val="0"/>
      </c:catAx>
      <c:valAx>
        <c:axId val="189689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Rendite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9689568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LIBERTYQ EUROPEAN DIVIDEND Net Return EUR Index</c:v>
                </c:pt>
              </c:strCache>
            </c:strRef>
          </c:tx>
          <c:spPr>
            <a:ln w="28575" cap="rnd">
              <a:solidFill>
                <a:schemeClr val="accent1"/>
              </a:solidFill>
              <a:round/>
            </a:ln>
            <a:effectLst/>
          </c:spPr>
          <c:marker>
            <c:symbol val="none"/>
          </c:marker>
          <c:cat>
            <c:numRef>
              <c:f>Sheet1!$A$2:$A$277</c:f>
              <c:numCache>
                <c:formatCode>m/d/yyyy</c:formatCode>
                <c:ptCount val="276"/>
                <c:pt idx="0">
                  <c:v>45902</c:v>
                </c:pt>
                <c:pt idx="1">
                  <c:v>45901</c:v>
                </c:pt>
                <c:pt idx="2">
                  <c:v>45898</c:v>
                </c:pt>
                <c:pt idx="3">
                  <c:v>45897</c:v>
                </c:pt>
                <c:pt idx="4">
                  <c:v>45896</c:v>
                </c:pt>
                <c:pt idx="5">
                  <c:v>45895</c:v>
                </c:pt>
                <c:pt idx="6">
                  <c:v>45894</c:v>
                </c:pt>
                <c:pt idx="7">
                  <c:v>45891</c:v>
                </c:pt>
                <c:pt idx="8">
                  <c:v>45890</c:v>
                </c:pt>
                <c:pt idx="9">
                  <c:v>45889</c:v>
                </c:pt>
                <c:pt idx="10">
                  <c:v>45888</c:v>
                </c:pt>
                <c:pt idx="11">
                  <c:v>45887</c:v>
                </c:pt>
                <c:pt idx="12">
                  <c:v>45884</c:v>
                </c:pt>
                <c:pt idx="13">
                  <c:v>45883</c:v>
                </c:pt>
                <c:pt idx="14">
                  <c:v>45882</c:v>
                </c:pt>
                <c:pt idx="15">
                  <c:v>45881</c:v>
                </c:pt>
                <c:pt idx="16">
                  <c:v>45880</c:v>
                </c:pt>
                <c:pt idx="17">
                  <c:v>45877</c:v>
                </c:pt>
                <c:pt idx="18">
                  <c:v>45876</c:v>
                </c:pt>
                <c:pt idx="19">
                  <c:v>45875</c:v>
                </c:pt>
                <c:pt idx="20">
                  <c:v>45874</c:v>
                </c:pt>
                <c:pt idx="21">
                  <c:v>45873</c:v>
                </c:pt>
                <c:pt idx="22">
                  <c:v>45870</c:v>
                </c:pt>
                <c:pt idx="23">
                  <c:v>45869</c:v>
                </c:pt>
                <c:pt idx="24">
                  <c:v>45868</c:v>
                </c:pt>
                <c:pt idx="25">
                  <c:v>45867</c:v>
                </c:pt>
                <c:pt idx="26">
                  <c:v>45866</c:v>
                </c:pt>
                <c:pt idx="27">
                  <c:v>45863</c:v>
                </c:pt>
                <c:pt idx="28">
                  <c:v>45862</c:v>
                </c:pt>
                <c:pt idx="29">
                  <c:v>45861</c:v>
                </c:pt>
                <c:pt idx="30">
                  <c:v>45860</c:v>
                </c:pt>
                <c:pt idx="31">
                  <c:v>45859</c:v>
                </c:pt>
                <c:pt idx="32">
                  <c:v>45856</c:v>
                </c:pt>
                <c:pt idx="33">
                  <c:v>45855</c:v>
                </c:pt>
                <c:pt idx="34">
                  <c:v>45854</c:v>
                </c:pt>
                <c:pt idx="35">
                  <c:v>45853</c:v>
                </c:pt>
                <c:pt idx="36">
                  <c:v>45852</c:v>
                </c:pt>
                <c:pt idx="37">
                  <c:v>45849</c:v>
                </c:pt>
                <c:pt idx="38">
                  <c:v>45848</c:v>
                </c:pt>
                <c:pt idx="39">
                  <c:v>45847</c:v>
                </c:pt>
                <c:pt idx="40">
                  <c:v>45846</c:v>
                </c:pt>
                <c:pt idx="41">
                  <c:v>45845</c:v>
                </c:pt>
                <c:pt idx="42">
                  <c:v>45842</c:v>
                </c:pt>
                <c:pt idx="43">
                  <c:v>45841</c:v>
                </c:pt>
                <c:pt idx="44">
                  <c:v>45840</c:v>
                </c:pt>
                <c:pt idx="45">
                  <c:v>45839</c:v>
                </c:pt>
                <c:pt idx="46">
                  <c:v>45838</c:v>
                </c:pt>
                <c:pt idx="47">
                  <c:v>45835</c:v>
                </c:pt>
                <c:pt idx="48">
                  <c:v>45834</c:v>
                </c:pt>
                <c:pt idx="49">
                  <c:v>45833</c:v>
                </c:pt>
                <c:pt idx="50">
                  <c:v>45832</c:v>
                </c:pt>
                <c:pt idx="51">
                  <c:v>45831</c:v>
                </c:pt>
                <c:pt idx="52">
                  <c:v>45828</c:v>
                </c:pt>
                <c:pt idx="53">
                  <c:v>45827</c:v>
                </c:pt>
                <c:pt idx="54">
                  <c:v>45826</c:v>
                </c:pt>
                <c:pt idx="55">
                  <c:v>45825</c:v>
                </c:pt>
                <c:pt idx="56">
                  <c:v>45824</c:v>
                </c:pt>
                <c:pt idx="57">
                  <c:v>45821</c:v>
                </c:pt>
                <c:pt idx="58">
                  <c:v>45820</c:v>
                </c:pt>
                <c:pt idx="59">
                  <c:v>45819</c:v>
                </c:pt>
                <c:pt idx="60">
                  <c:v>45818</c:v>
                </c:pt>
                <c:pt idx="61">
                  <c:v>45817</c:v>
                </c:pt>
                <c:pt idx="62">
                  <c:v>45814</c:v>
                </c:pt>
                <c:pt idx="63">
                  <c:v>45813</c:v>
                </c:pt>
                <c:pt idx="64">
                  <c:v>45812</c:v>
                </c:pt>
                <c:pt idx="65">
                  <c:v>45811</c:v>
                </c:pt>
                <c:pt idx="66">
                  <c:v>45810</c:v>
                </c:pt>
                <c:pt idx="67">
                  <c:v>45807</c:v>
                </c:pt>
                <c:pt idx="68">
                  <c:v>45806</c:v>
                </c:pt>
                <c:pt idx="69">
                  <c:v>45805</c:v>
                </c:pt>
                <c:pt idx="70">
                  <c:v>45804</c:v>
                </c:pt>
                <c:pt idx="71">
                  <c:v>45803</c:v>
                </c:pt>
                <c:pt idx="72">
                  <c:v>45800</c:v>
                </c:pt>
                <c:pt idx="73">
                  <c:v>45799</c:v>
                </c:pt>
                <c:pt idx="74">
                  <c:v>45798</c:v>
                </c:pt>
                <c:pt idx="75">
                  <c:v>45797</c:v>
                </c:pt>
                <c:pt idx="76">
                  <c:v>45796</c:v>
                </c:pt>
                <c:pt idx="77">
                  <c:v>45793</c:v>
                </c:pt>
                <c:pt idx="78">
                  <c:v>45792</c:v>
                </c:pt>
                <c:pt idx="79">
                  <c:v>45791</c:v>
                </c:pt>
                <c:pt idx="80">
                  <c:v>45790</c:v>
                </c:pt>
                <c:pt idx="81">
                  <c:v>45789</c:v>
                </c:pt>
                <c:pt idx="82">
                  <c:v>45786</c:v>
                </c:pt>
                <c:pt idx="83">
                  <c:v>45785</c:v>
                </c:pt>
                <c:pt idx="84">
                  <c:v>45784</c:v>
                </c:pt>
                <c:pt idx="85">
                  <c:v>45783</c:v>
                </c:pt>
                <c:pt idx="86">
                  <c:v>45782</c:v>
                </c:pt>
                <c:pt idx="87">
                  <c:v>45779</c:v>
                </c:pt>
                <c:pt idx="88">
                  <c:v>45778</c:v>
                </c:pt>
                <c:pt idx="89">
                  <c:v>45777</c:v>
                </c:pt>
                <c:pt idx="90">
                  <c:v>45776</c:v>
                </c:pt>
                <c:pt idx="91">
                  <c:v>45775</c:v>
                </c:pt>
                <c:pt idx="92">
                  <c:v>45772</c:v>
                </c:pt>
                <c:pt idx="93">
                  <c:v>45771</c:v>
                </c:pt>
                <c:pt idx="94">
                  <c:v>45770</c:v>
                </c:pt>
                <c:pt idx="95">
                  <c:v>45769</c:v>
                </c:pt>
                <c:pt idx="96">
                  <c:v>45768</c:v>
                </c:pt>
                <c:pt idx="97">
                  <c:v>45765</c:v>
                </c:pt>
                <c:pt idx="98">
                  <c:v>45764</c:v>
                </c:pt>
                <c:pt idx="99">
                  <c:v>45763</c:v>
                </c:pt>
                <c:pt idx="100">
                  <c:v>45762</c:v>
                </c:pt>
                <c:pt idx="101">
                  <c:v>45761</c:v>
                </c:pt>
                <c:pt idx="102">
                  <c:v>45758</c:v>
                </c:pt>
                <c:pt idx="103">
                  <c:v>45757</c:v>
                </c:pt>
                <c:pt idx="104">
                  <c:v>45756</c:v>
                </c:pt>
                <c:pt idx="105">
                  <c:v>45755</c:v>
                </c:pt>
                <c:pt idx="106">
                  <c:v>45754</c:v>
                </c:pt>
                <c:pt idx="107">
                  <c:v>45751</c:v>
                </c:pt>
                <c:pt idx="108">
                  <c:v>45750</c:v>
                </c:pt>
                <c:pt idx="109">
                  <c:v>45749</c:v>
                </c:pt>
                <c:pt idx="110">
                  <c:v>45748</c:v>
                </c:pt>
                <c:pt idx="111">
                  <c:v>45747</c:v>
                </c:pt>
                <c:pt idx="112">
                  <c:v>45744</c:v>
                </c:pt>
                <c:pt idx="113">
                  <c:v>45743</c:v>
                </c:pt>
                <c:pt idx="114">
                  <c:v>45742</c:v>
                </c:pt>
                <c:pt idx="115">
                  <c:v>45741</c:v>
                </c:pt>
                <c:pt idx="116">
                  <c:v>45740</c:v>
                </c:pt>
                <c:pt idx="117">
                  <c:v>45737</c:v>
                </c:pt>
                <c:pt idx="118">
                  <c:v>45736</c:v>
                </c:pt>
                <c:pt idx="119">
                  <c:v>45735</c:v>
                </c:pt>
                <c:pt idx="120">
                  <c:v>45734</c:v>
                </c:pt>
                <c:pt idx="121">
                  <c:v>45733</c:v>
                </c:pt>
                <c:pt idx="122">
                  <c:v>45730</c:v>
                </c:pt>
                <c:pt idx="123">
                  <c:v>45729</c:v>
                </c:pt>
                <c:pt idx="124">
                  <c:v>45728</c:v>
                </c:pt>
                <c:pt idx="125">
                  <c:v>45727</c:v>
                </c:pt>
                <c:pt idx="126">
                  <c:v>45726</c:v>
                </c:pt>
                <c:pt idx="127">
                  <c:v>45723</c:v>
                </c:pt>
                <c:pt idx="128">
                  <c:v>45722</c:v>
                </c:pt>
                <c:pt idx="129">
                  <c:v>45721</c:v>
                </c:pt>
                <c:pt idx="130">
                  <c:v>45720</c:v>
                </c:pt>
                <c:pt idx="131">
                  <c:v>45719</c:v>
                </c:pt>
                <c:pt idx="132">
                  <c:v>45716</c:v>
                </c:pt>
                <c:pt idx="133">
                  <c:v>45715</c:v>
                </c:pt>
                <c:pt idx="134">
                  <c:v>45714</c:v>
                </c:pt>
                <c:pt idx="135">
                  <c:v>45713</c:v>
                </c:pt>
                <c:pt idx="136">
                  <c:v>45712</c:v>
                </c:pt>
                <c:pt idx="137">
                  <c:v>45709</c:v>
                </c:pt>
                <c:pt idx="138">
                  <c:v>45708</c:v>
                </c:pt>
                <c:pt idx="139">
                  <c:v>45707</c:v>
                </c:pt>
                <c:pt idx="140">
                  <c:v>45706</c:v>
                </c:pt>
                <c:pt idx="141">
                  <c:v>45705</c:v>
                </c:pt>
                <c:pt idx="142">
                  <c:v>45702</c:v>
                </c:pt>
                <c:pt idx="143">
                  <c:v>45701</c:v>
                </c:pt>
                <c:pt idx="144">
                  <c:v>45700</c:v>
                </c:pt>
                <c:pt idx="145">
                  <c:v>45699</c:v>
                </c:pt>
                <c:pt idx="146">
                  <c:v>45698</c:v>
                </c:pt>
                <c:pt idx="147">
                  <c:v>45695</c:v>
                </c:pt>
                <c:pt idx="148">
                  <c:v>45694</c:v>
                </c:pt>
                <c:pt idx="149">
                  <c:v>45693</c:v>
                </c:pt>
                <c:pt idx="150">
                  <c:v>45692</c:v>
                </c:pt>
                <c:pt idx="151">
                  <c:v>45691</c:v>
                </c:pt>
                <c:pt idx="152">
                  <c:v>45688</c:v>
                </c:pt>
                <c:pt idx="153">
                  <c:v>45687</c:v>
                </c:pt>
                <c:pt idx="154">
                  <c:v>45686</c:v>
                </c:pt>
                <c:pt idx="155">
                  <c:v>45685</c:v>
                </c:pt>
                <c:pt idx="156">
                  <c:v>45684</c:v>
                </c:pt>
                <c:pt idx="157">
                  <c:v>45681</c:v>
                </c:pt>
                <c:pt idx="158">
                  <c:v>45680</c:v>
                </c:pt>
                <c:pt idx="159">
                  <c:v>45679</c:v>
                </c:pt>
                <c:pt idx="160">
                  <c:v>45678</c:v>
                </c:pt>
                <c:pt idx="161">
                  <c:v>45677</c:v>
                </c:pt>
                <c:pt idx="162">
                  <c:v>45674</c:v>
                </c:pt>
                <c:pt idx="163">
                  <c:v>45673</c:v>
                </c:pt>
                <c:pt idx="164">
                  <c:v>45672</c:v>
                </c:pt>
                <c:pt idx="165">
                  <c:v>45671</c:v>
                </c:pt>
                <c:pt idx="166">
                  <c:v>45670</c:v>
                </c:pt>
                <c:pt idx="167">
                  <c:v>45667</c:v>
                </c:pt>
                <c:pt idx="168">
                  <c:v>45666</c:v>
                </c:pt>
                <c:pt idx="169">
                  <c:v>45665</c:v>
                </c:pt>
                <c:pt idx="170">
                  <c:v>45664</c:v>
                </c:pt>
                <c:pt idx="171">
                  <c:v>45663</c:v>
                </c:pt>
                <c:pt idx="172">
                  <c:v>45660</c:v>
                </c:pt>
                <c:pt idx="173">
                  <c:v>45659</c:v>
                </c:pt>
                <c:pt idx="174">
                  <c:v>45658</c:v>
                </c:pt>
              </c:numCache>
            </c:numRef>
          </c:cat>
          <c:val>
            <c:numRef>
              <c:f>Sheet1!$B$2:$B$277</c:f>
              <c:numCache>
                <c:formatCode>General</c:formatCode>
                <c:ptCount val="276"/>
                <c:pt idx="0">
                  <c:v>117.73</c:v>
                </c:pt>
                <c:pt idx="1">
                  <c:v>119.06</c:v>
                </c:pt>
                <c:pt idx="2">
                  <c:v>118.93</c:v>
                </c:pt>
                <c:pt idx="3">
                  <c:v>119.12</c:v>
                </c:pt>
                <c:pt idx="4">
                  <c:v>119.84</c:v>
                </c:pt>
                <c:pt idx="5">
                  <c:v>119.9</c:v>
                </c:pt>
                <c:pt idx="6">
                  <c:v>120.48</c:v>
                </c:pt>
                <c:pt idx="7">
                  <c:v>120.98</c:v>
                </c:pt>
                <c:pt idx="8">
                  <c:v>120.87</c:v>
                </c:pt>
                <c:pt idx="9">
                  <c:v>120.39</c:v>
                </c:pt>
                <c:pt idx="10">
                  <c:v>119.44</c:v>
                </c:pt>
                <c:pt idx="11">
                  <c:v>119.12</c:v>
                </c:pt>
                <c:pt idx="12">
                  <c:v>119.05</c:v>
                </c:pt>
                <c:pt idx="13">
                  <c:v>119.09</c:v>
                </c:pt>
                <c:pt idx="14">
                  <c:v>118.24</c:v>
                </c:pt>
                <c:pt idx="15">
                  <c:v>117.82</c:v>
                </c:pt>
                <c:pt idx="16">
                  <c:v>117.7</c:v>
                </c:pt>
                <c:pt idx="17">
                  <c:v>117.55</c:v>
                </c:pt>
                <c:pt idx="18">
                  <c:v>117.8</c:v>
                </c:pt>
                <c:pt idx="19">
                  <c:v>117.46</c:v>
                </c:pt>
                <c:pt idx="20">
                  <c:v>117.29</c:v>
                </c:pt>
                <c:pt idx="21">
                  <c:v>116.97</c:v>
                </c:pt>
                <c:pt idx="22">
                  <c:v>115.58</c:v>
                </c:pt>
                <c:pt idx="23">
                  <c:v>116.56</c:v>
                </c:pt>
                <c:pt idx="24">
                  <c:v>116.6</c:v>
                </c:pt>
                <c:pt idx="25">
                  <c:v>116.74</c:v>
                </c:pt>
                <c:pt idx="26">
                  <c:v>116.01</c:v>
                </c:pt>
                <c:pt idx="27">
                  <c:v>116.22</c:v>
                </c:pt>
                <c:pt idx="28">
                  <c:v>116.67</c:v>
                </c:pt>
                <c:pt idx="29">
                  <c:v>116.37</c:v>
                </c:pt>
                <c:pt idx="30">
                  <c:v>116.16</c:v>
                </c:pt>
                <c:pt idx="31">
                  <c:v>116.26</c:v>
                </c:pt>
                <c:pt idx="32">
                  <c:v>116.44</c:v>
                </c:pt>
                <c:pt idx="33">
                  <c:v>115.97</c:v>
                </c:pt>
                <c:pt idx="34">
                  <c:v>115.44</c:v>
                </c:pt>
                <c:pt idx="35">
                  <c:v>115.32</c:v>
                </c:pt>
                <c:pt idx="36">
                  <c:v>116.15</c:v>
                </c:pt>
                <c:pt idx="37">
                  <c:v>116.03</c:v>
                </c:pt>
                <c:pt idx="38">
                  <c:v>116.24</c:v>
                </c:pt>
                <c:pt idx="39">
                  <c:v>116.31</c:v>
                </c:pt>
                <c:pt idx="40">
                  <c:v>115.69</c:v>
                </c:pt>
                <c:pt idx="41">
                  <c:v>115.7</c:v>
                </c:pt>
                <c:pt idx="42">
                  <c:v>115.29</c:v>
                </c:pt>
                <c:pt idx="43">
                  <c:v>115.62</c:v>
                </c:pt>
                <c:pt idx="44">
                  <c:v>114.86</c:v>
                </c:pt>
                <c:pt idx="45">
                  <c:v>115.04</c:v>
                </c:pt>
                <c:pt idx="46">
                  <c:v>115.01</c:v>
                </c:pt>
                <c:pt idx="47">
                  <c:v>115.21</c:v>
                </c:pt>
                <c:pt idx="48">
                  <c:v>114.69</c:v>
                </c:pt>
                <c:pt idx="49">
                  <c:v>114.26</c:v>
                </c:pt>
                <c:pt idx="50">
                  <c:v>115.33</c:v>
                </c:pt>
                <c:pt idx="51">
                  <c:v>115.58</c:v>
                </c:pt>
                <c:pt idx="52">
                  <c:v>115.55</c:v>
                </c:pt>
                <c:pt idx="53">
                  <c:v>115.61</c:v>
                </c:pt>
                <c:pt idx="54">
                  <c:v>115.65</c:v>
                </c:pt>
                <c:pt idx="55">
                  <c:v>115.59</c:v>
                </c:pt>
                <c:pt idx="56">
                  <c:v>115.97</c:v>
                </c:pt>
                <c:pt idx="57">
                  <c:v>115.74</c:v>
                </c:pt>
                <c:pt idx="58">
                  <c:v>115.99</c:v>
                </c:pt>
                <c:pt idx="59">
                  <c:v>115.91</c:v>
                </c:pt>
                <c:pt idx="60">
                  <c:v>116.21</c:v>
                </c:pt>
                <c:pt idx="61">
                  <c:v>117.03</c:v>
                </c:pt>
                <c:pt idx="62">
                  <c:v>117.38</c:v>
                </c:pt>
                <c:pt idx="63">
                  <c:v>117.33</c:v>
                </c:pt>
                <c:pt idx="64">
                  <c:v>116.87</c:v>
                </c:pt>
                <c:pt idx="65">
                  <c:v>116.61</c:v>
                </c:pt>
                <c:pt idx="66">
                  <c:v>117.2</c:v>
                </c:pt>
                <c:pt idx="67">
                  <c:v>116.75</c:v>
                </c:pt>
                <c:pt idx="68">
                  <c:v>116.83</c:v>
                </c:pt>
                <c:pt idx="69">
                  <c:v>117.09</c:v>
                </c:pt>
                <c:pt idx="70">
                  <c:v>117.77</c:v>
                </c:pt>
                <c:pt idx="71">
                  <c:v>118</c:v>
                </c:pt>
                <c:pt idx="72">
                  <c:v>117.39</c:v>
                </c:pt>
                <c:pt idx="73">
                  <c:v>117.68</c:v>
                </c:pt>
                <c:pt idx="74">
                  <c:v>118.37</c:v>
                </c:pt>
                <c:pt idx="75">
                  <c:v>117.82</c:v>
                </c:pt>
                <c:pt idx="76">
                  <c:v>116.88</c:v>
                </c:pt>
                <c:pt idx="77">
                  <c:v>116.6</c:v>
                </c:pt>
                <c:pt idx="78">
                  <c:v>115.45</c:v>
                </c:pt>
                <c:pt idx="79">
                  <c:v>114.18</c:v>
                </c:pt>
                <c:pt idx="80">
                  <c:v>113.9</c:v>
                </c:pt>
                <c:pt idx="81">
                  <c:v>114.41</c:v>
                </c:pt>
                <c:pt idx="82">
                  <c:v>114.36</c:v>
                </c:pt>
                <c:pt idx="83">
                  <c:v>114.37</c:v>
                </c:pt>
                <c:pt idx="84">
                  <c:v>114.99</c:v>
                </c:pt>
                <c:pt idx="85">
                  <c:v>115.28</c:v>
                </c:pt>
                <c:pt idx="86">
                  <c:v>114.6</c:v>
                </c:pt>
                <c:pt idx="87">
                  <c:v>114.01</c:v>
                </c:pt>
                <c:pt idx="88">
                  <c:v>113.33</c:v>
                </c:pt>
                <c:pt idx="89">
                  <c:v>113.16</c:v>
                </c:pt>
                <c:pt idx="90">
                  <c:v>112.47</c:v>
                </c:pt>
                <c:pt idx="91">
                  <c:v>111.78</c:v>
                </c:pt>
                <c:pt idx="92">
                  <c:v>111.15</c:v>
                </c:pt>
                <c:pt idx="93">
                  <c:v>110.92</c:v>
                </c:pt>
                <c:pt idx="94">
                  <c:v>110.43</c:v>
                </c:pt>
                <c:pt idx="95">
                  <c:v>109.89</c:v>
                </c:pt>
                <c:pt idx="96">
                  <c:v>109.31</c:v>
                </c:pt>
                <c:pt idx="97">
                  <c:v>109.32</c:v>
                </c:pt>
                <c:pt idx="98">
                  <c:v>109.32</c:v>
                </c:pt>
                <c:pt idx="99">
                  <c:v>109.22</c:v>
                </c:pt>
                <c:pt idx="100">
                  <c:v>108.99</c:v>
                </c:pt>
                <c:pt idx="101">
                  <c:v>107.04</c:v>
                </c:pt>
                <c:pt idx="102">
                  <c:v>104.65</c:v>
                </c:pt>
                <c:pt idx="103">
                  <c:v>104</c:v>
                </c:pt>
                <c:pt idx="104">
                  <c:v>100.86</c:v>
                </c:pt>
                <c:pt idx="105">
                  <c:v>103.81</c:v>
                </c:pt>
                <c:pt idx="106">
                  <c:v>101.38</c:v>
                </c:pt>
                <c:pt idx="107">
                  <c:v>105.44</c:v>
                </c:pt>
                <c:pt idx="108">
                  <c:v>111.02</c:v>
                </c:pt>
                <c:pt idx="109">
                  <c:v>111.9</c:v>
                </c:pt>
                <c:pt idx="110">
                  <c:v>112.46</c:v>
                </c:pt>
                <c:pt idx="111">
                  <c:v>111.57</c:v>
                </c:pt>
                <c:pt idx="112">
                  <c:v>112.3</c:v>
                </c:pt>
                <c:pt idx="113">
                  <c:v>112.31</c:v>
                </c:pt>
                <c:pt idx="114">
                  <c:v>112.17</c:v>
                </c:pt>
                <c:pt idx="115">
                  <c:v>111.95</c:v>
                </c:pt>
                <c:pt idx="116">
                  <c:v>111.31</c:v>
                </c:pt>
                <c:pt idx="117">
                  <c:v>111.61</c:v>
                </c:pt>
                <c:pt idx="118">
                  <c:v>111.52</c:v>
                </c:pt>
                <c:pt idx="119">
                  <c:v>111.74</c:v>
                </c:pt>
                <c:pt idx="120">
                  <c:v>111.45</c:v>
                </c:pt>
                <c:pt idx="121">
                  <c:v>110.99</c:v>
                </c:pt>
                <c:pt idx="122">
                  <c:v>110.13</c:v>
                </c:pt>
                <c:pt idx="123">
                  <c:v>109.64</c:v>
                </c:pt>
                <c:pt idx="124">
                  <c:v>109.13</c:v>
                </c:pt>
                <c:pt idx="125">
                  <c:v>108.78</c:v>
                </c:pt>
                <c:pt idx="126">
                  <c:v>109.72</c:v>
                </c:pt>
                <c:pt idx="127">
                  <c:v>109.21</c:v>
                </c:pt>
                <c:pt idx="128">
                  <c:v>108.76</c:v>
                </c:pt>
                <c:pt idx="129">
                  <c:v>108.52</c:v>
                </c:pt>
                <c:pt idx="130">
                  <c:v>108.86</c:v>
                </c:pt>
                <c:pt idx="131">
                  <c:v>109.91</c:v>
                </c:pt>
                <c:pt idx="132">
                  <c:v>108.44</c:v>
                </c:pt>
                <c:pt idx="133">
                  <c:v>108.67</c:v>
                </c:pt>
                <c:pt idx="134">
                  <c:v>108.59</c:v>
                </c:pt>
                <c:pt idx="135">
                  <c:v>108.12</c:v>
                </c:pt>
                <c:pt idx="136">
                  <c:v>107.8</c:v>
                </c:pt>
                <c:pt idx="137">
                  <c:v>107.03</c:v>
                </c:pt>
                <c:pt idx="138">
                  <c:v>106.38</c:v>
                </c:pt>
                <c:pt idx="139">
                  <c:v>106.69</c:v>
                </c:pt>
                <c:pt idx="140">
                  <c:v>107.14</c:v>
                </c:pt>
                <c:pt idx="141">
                  <c:v>106.88</c:v>
                </c:pt>
                <c:pt idx="142">
                  <c:v>106.18</c:v>
                </c:pt>
                <c:pt idx="143">
                  <c:v>106.57</c:v>
                </c:pt>
                <c:pt idx="144">
                  <c:v>106.32</c:v>
                </c:pt>
                <c:pt idx="145">
                  <c:v>106.44</c:v>
                </c:pt>
                <c:pt idx="146">
                  <c:v>106.22</c:v>
                </c:pt>
                <c:pt idx="147">
                  <c:v>105.8</c:v>
                </c:pt>
                <c:pt idx="148">
                  <c:v>106.14</c:v>
                </c:pt>
                <c:pt idx="149">
                  <c:v>105.54</c:v>
                </c:pt>
                <c:pt idx="150">
                  <c:v>105.25</c:v>
                </c:pt>
                <c:pt idx="151">
                  <c:v>104.91</c:v>
                </c:pt>
                <c:pt idx="152">
                  <c:v>105.09</c:v>
                </c:pt>
                <c:pt idx="153">
                  <c:v>105.11</c:v>
                </c:pt>
                <c:pt idx="154">
                  <c:v>104.59</c:v>
                </c:pt>
                <c:pt idx="155">
                  <c:v>104.22</c:v>
                </c:pt>
                <c:pt idx="156">
                  <c:v>103.58</c:v>
                </c:pt>
                <c:pt idx="157">
                  <c:v>102.79</c:v>
                </c:pt>
                <c:pt idx="158">
                  <c:v>103.28</c:v>
                </c:pt>
                <c:pt idx="159">
                  <c:v>103.25</c:v>
                </c:pt>
                <c:pt idx="160">
                  <c:v>103.21</c:v>
                </c:pt>
                <c:pt idx="161">
                  <c:v>102.96</c:v>
                </c:pt>
                <c:pt idx="162">
                  <c:v>103.16</c:v>
                </c:pt>
                <c:pt idx="163">
                  <c:v>102.72</c:v>
                </c:pt>
                <c:pt idx="164">
                  <c:v>102.05</c:v>
                </c:pt>
                <c:pt idx="165">
                  <c:v>100.88</c:v>
                </c:pt>
                <c:pt idx="166">
                  <c:v>101.05</c:v>
                </c:pt>
                <c:pt idx="167">
                  <c:v>101.04</c:v>
                </c:pt>
                <c:pt idx="168">
                  <c:v>101.88</c:v>
                </c:pt>
                <c:pt idx="169">
                  <c:v>101.58</c:v>
                </c:pt>
                <c:pt idx="170">
                  <c:v>101.66</c:v>
                </c:pt>
                <c:pt idx="171">
                  <c:v>101.52</c:v>
                </c:pt>
                <c:pt idx="172">
                  <c:v>101.44</c:v>
                </c:pt>
                <c:pt idx="173">
                  <c:v>101.29</c:v>
                </c:pt>
                <c:pt idx="174">
                  <c:v>100</c:v>
                </c:pt>
              </c:numCache>
            </c:numRef>
          </c:val>
          <c:smooth val="0"/>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70AC-4CDD-9ED4-CC4A42729729}"/>
            </c:ext>
          </c:extLst>
        </c:ser>
        <c:ser>
          <c:idx val="1"/>
          <c:order val="1"/>
          <c:tx>
            <c:strRef>
              <c:f>Sheet1!$C$1</c:f>
              <c:strCache>
                <c:ptCount val="1"/>
                <c:pt idx="0">
                  <c:v>MSCI Europe Net Total Return EUR Index</c:v>
                </c:pt>
              </c:strCache>
            </c:strRef>
          </c:tx>
          <c:spPr>
            <a:ln w="28575" cap="rnd">
              <a:solidFill>
                <a:schemeClr val="accent2"/>
              </a:solidFill>
              <a:round/>
            </a:ln>
            <a:effectLst/>
          </c:spPr>
          <c:marker>
            <c:symbol val="none"/>
          </c:marker>
          <c:cat>
            <c:numRef>
              <c:f>Sheet1!$A$2:$A$277</c:f>
              <c:numCache>
                <c:formatCode>m/d/yyyy</c:formatCode>
                <c:ptCount val="276"/>
                <c:pt idx="0">
                  <c:v>45902</c:v>
                </c:pt>
                <c:pt idx="1">
                  <c:v>45901</c:v>
                </c:pt>
                <c:pt idx="2">
                  <c:v>45898</c:v>
                </c:pt>
                <c:pt idx="3">
                  <c:v>45897</c:v>
                </c:pt>
                <c:pt idx="4">
                  <c:v>45896</c:v>
                </c:pt>
                <c:pt idx="5">
                  <c:v>45895</c:v>
                </c:pt>
                <c:pt idx="6">
                  <c:v>45894</c:v>
                </c:pt>
                <c:pt idx="7">
                  <c:v>45891</c:v>
                </c:pt>
                <c:pt idx="8">
                  <c:v>45890</c:v>
                </c:pt>
                <c:pt idx="9">
                  <c:v>45889</c:v>
                </c:pt>
                <c:pt idx="10">
                  <c:v>45888</c:v>
                </c:pt>
                <c:pt idx="11">
                  <c:v>45887</c:v>
                </c:pt>
                <c:pt idx="12">
                  <c:v>45884</c:v>
                </c:pt>
                <c:pt idx="13">
                  <c:v>45883</c:v>
                </c:pt>
                <c:pt idx="14">
                  <c:v>45882</c:v>
                </c:pt>
                <c:pt idx="15">
                  <c:v>45881</c:v>
                </c:pt>
                <c:pt idx="16">
                  <c:v>45880</c:v>
                </c:pt>
                <c:pt idx="17">
                  <c:v>45877</c:v>
                </c:pt>
                <c:pt idx="18">
                  <c:v>45876</c:v>
                </c:pt>
                <c:pt idx="19">
                  <c:v>45875</c:v>
                </c:pt>
                <c:pt idx="20">
                  <c:v>45874</c:v>
                </c:pt>
                <c:pt idx="21">
                  <c:v>45873</c:v>
                </c:pt>
                <c:pt idx="22">
                  <c:v>45870</c:v>
                </c:pt>
                <c:pt idx="23">
                  <c:v>45869</c:v>
                </c:pt>
                <c:pt idx="24">
                  <c:v>45868</c:v>
                </c:pt>
                <c:pt idx="25">
                  <c:v>45867</c:v>
                </c:pt>
                <c:pt idx="26">
                  <c:v>45866</c:v>
                </c:pt>
                <c:pt idx="27">
                  <c:v>45863</c:v>
                </c:pt>
                <c:pt idx="28">
                  <c:v>45862</c:v>
                </c:pt>
                <c:pt idx="29">
                  <c:v>45861</c:v>
                </c:pt>
                <c:pt idx="30">
                  <c:v>45860</c:v>
                </c:pt>
                <c:pt idx="31">
                  <c:v>45859</c:v>
                </c:pt>
                <c:pt idx="32">
                  <c:v>45856</c:v>
                </c:pt>
                <c:pt idx="33">
                  <c:v>45855</c:v>
                </c:pt>
                <c:pt idx="34">
                  <c:v>45854</c:v>
                </c:pt>
                <c:pt idx="35">
                  <c:v>45853</c:v>
                </c:pt>
                <c:pt idx="36">
                  <c:v>45852</c:v>
                </c:pt>
                <c:pt idx="37">
                  <c:v>45849</c:v>
                </c:pt>
                <c:pt idx="38">
                  <c:v>45848</c:v>
                </c:pt>
                <c:pt idx="39">
                  <c:v>45847</c:v>
                </c:pt>
                <c:pt idx="40">
                  <c:v>45846</c:v>
                </c:pt>
                <c:pt idx="41">
                  <c:v>45845</c:v>
                </c:pt>
                <c:pt idx="42">
                  <c:v>45842</c:v>
                </c:pt>
                <c:pt idx="43">
                  <c:v>45841</c:v>
                </c:pt>
                <c:pt idx="44">
                  <c:v>45840</c:v>
                </c:pt>
                <c:pt idx="45">
                  <c:v>45839</c:v>
                </c:pt>
                <c:pt idx="46">
                  <c:v>45838</c:v>
                </c:pt>
                <c:pt idx="47">
                  <c:v>45835</c:v>
                </c:pt>
                <c:pt idx="48">
                  <c:v>45834</c:v>
                </c:pt>
                <c:pt idx="49">
                  <c:v>45833</c:v>
                </c:pt>
                <c:pt idx="50">
                  <c:v>45832</c:v>
                </c:pt>
                <c:pt idx="51">
                  <c:v>45831</c:v>
                </c:pt>
                <c:pt idx="52">
                  <c:v>45828</c:v>
                </c:pt>
                <c:pt idx="53">
                  <c:v>45827</c:v>
                </c:pt>
                <c:pt idx="54">
                  <c:v>45826</c:v>
                </c:pt>
                <c:pt idx="55">
                  <c:v>45825</c:v>
                </c:pt>
                <c:pt idx="56">
                  <c:v>45824</c:v>
                </c:pt>
                <c:pt idx="57">
                  <c:v>45821</c:v>
                </c:pt>
                <c:pt idx="58">
                  <c:v>45820</c:v>
                </c:pt>
                <c:pt idx="59">
                  <c:v>45819</c:v>
                </c:pt>
                <c:pt idx="60">
                  <c:v>45818</c:v>
                </c:pt>
                <c:pt idx="61">
                  <c:v>45817</c:v>
                </c:pt>
                <c:pt idx="62">
                  <c:v>45814</c:v>
                </c:pt>
                <c:pt idx="63">
                  <c:v>45813</c:v>
                </c:pt>
                <c:pt idx="64">
                  <c:v>45812</c:v>
                </c:pt>
                <c:pt idx="65">
                  <c:v>45811</c:v>
                </c:pt>
                <c:pt idx="66">
                  <c:v>45810</c:v>
                </c:pt>
                <c:pt idx="67">
                  <c:v>45807</c:v>
                </c:pt>
                <c:pt idx="68">
                  <c:v>45806</c:v>
                </c:pt>
                <c:pt idx="69">
                  <c:v>45805</c:v>
                </c:pt>
                <c:pt idx="70">
                  <c:v>45804</c:v>
                </c:pt>
                <c:pt idx="71">
                  <c:v>45803</c:v>
                </c:pt>
                <c:pt idx="72">
                  <c:v>45800</c:v>
                </c:pt>
                <c:pt idx="73">
                  <c:v>45799</c:v>
                </c:pt>
                <c:pt idx="74">
                  <c:v>45798</c:v>
                </c:pt>
                <c:pt idx="75">
                  <c:v>45797</c:v>
                </c:pt>
                <c:pt idx="76">
                  <c:v>45796</c:v>
                </c:pt>
                <c:pt idx="77">
                  <c:v>45793</c:v>
                </c:pt>
                <c:pt idx="78">
                  <c:v>45792</c:v>
                </c:pt>
                <c:pt idx="79">
                  <c:v>45791</c:v>
                </c:pt>
                <c:pt idx="80">
                  <c:v>45790</c:v>
                </c:pt>
                <c:pt idx="81">
                  <c:v>45789</c:v>
                </c:pt>
                <c:pt idx="82">
                  <c:v>45786</c:v>
                </c:pt>
                <c:pt idx="83">
                  <c:v>45785</c:v>
                </c:pt>
                <c:pt idx="84">
                  <c:v>45784</c:v>
                </c:pt>
                <c:pt idx="85">
                  <c:v>45783</c:v>
                </c:pt>
                <c:pt idx="86">
                  <c:v>45782</c:v>
                </c:pt>
                <c:pt idx="87">
                  <c:v>45779</c:v>
                </c:pt>
                <c:pt idx="88">
                  <c:v>45778</c:v>
                </c:pt>
                <c:pt idx="89">
                  <c:v>45777</c:v>
                </c:pt>
                <c:pt idx="90">
                  <c:v>45776</c:v>
                </c:pt>
                <c:pt idx="91">
                  <c:v>45775</c:v>
                </c:pt>
                <c:pt idx="92">
                  <c:v>45772</c:v>
                </c:pt>
                <c:pt idx="93">
                  <c:v>45771</c:v>
                </c:pt>
                <c:pt idx="94">
                  <c:v>45770</c:v>
                </c:pt>
                <c:pt idx="95">
                  <c:v>45769</c:v>
                </c:pt>
                <c:pt idx="96">
                  <c:v>45768</c:v>
                </c:pt>
                <c:pt idx="97">
                  <c:v>45765</c:v>
                </c:pt>
                <c:pt idx="98">
                  <c:v>45764</c:v>
                </c:pt>
                <c:pt idx="99">
                  <c:v>45763</c:v>
                </c:pt>
                <c:pt idx="100">
                  <c:v>45762</c:v>
                </c:pt>
                <c:pt idx="101">
                  <c:v>45761</c:v>
                </c:pt>
                <c:pt idx="102">
                  <c:v>45758</c:v>
                </c:pt>
                <c:pt idx="103">
                  <c:v>45757</c:v>
                </c:pt>
                <c:pt idx="104">
                  <c:v>45756</c:v>
                </c:pt>
                <c:pt idx="105">
                  <c:v>45755</c:v>
                </c:pt>
                <c:pt idx="106">
                  <c:v>45754</c:v>
                </c:pt>
                <c:pt idx="107">
                  <c:v>45751</c:v>
                </c:pt>
                <c:pt idx="108">
                  <c:v>45750</c:v>
                </c:pt>
                <c:pt idx="109">
                  <c:v>45749</c:v>
                </c:pt>
                <c:pt idx="110">
                  <c:v>45748</c:v>
                </c:pt>
                <c:pt idx="111">
                  <c:v>45747</c:v>
                </c:pt>
                <c:pt idx="112">
                  <c:v>45744</c:v>
                </c:pt>
                <c:pt idx="113">
                  <c:v>45743</c:v>
                </c:pt>
                <c:pt idx="114">
                  <c:v>45742</c:v>
                </c:pt>
                <c:pt idx="115">
                  <c:v>45741</c:v>
                </c:pt>
                <c:pt idx="116">
                  <c:v>45740</c:v>
                </c:pt>
                <c:pt idx="117">
                  <c:v>45737</c:v>
                </c:pt>
                <c:pt idx="118">
                  <c:v>45736</c:v>
                </c:pt>
                <c:pt idx="119">
                  <c:v>45735</c:v>
                </c:pt>
                <c:pt idx="120">
                  <c:v>45734</c:v>
                </c:pt>
                <c:pt idx="121">
                  <c:v>45733</c:v>
                </c:pt>
                <c:pt idx="122">
                  <c:v>45730</c:v>
                </c:pt>
                <c:pt idx="123">
                  <c:v>45729</c:v>
                </c:pt>
                <c:pt idx="124">
                  <c:v>45728</c:v>
                </c:pt>
                <c:pt idx="125">
                  <c:v>45727</c:v>
                </c:pt>
                <c:pt idx="126">
                  <c:v>45726</c:v>
                </c:pt>
                <c:pt idx="127">
                  <c:v>45723</c:v>
                </c:pt>
                <c:pt idx="128">
                  <c:v>45722</c:v>
                </c:pt>
                <c:pt idx="129">
                  <c:v>45721</c:v>
                </c:pt>
                <c:pt idx="130">
                  <c:v>45720</c:v>
                </c:pt>
                <c:pt idx="131">
                  <c:v>45719</c:v>
                </c:pt>
                <c:pt idx="132">
                  <c:v>45716</c:v>
                </c:pt>
                <c:pt idx="133">
                  <c:v>45715</c:v>
                </c:pt>
                <c:pt idx="134">
                  <c:v>45714</c:v>
                </c:pt>
                <c:pt idx="135">
                  <c:v>45713</c:v>
                </c:pt>
                <c:pt idx="136">
                  <c:v>45712</c:v>
                </c:pt>
                <c:pt idx="137">
                  <c:v>45709</c:v>
                </c:pt>
                <c:pt idx="138">
                  <c:v>45708</c:v>
                </c:pt>
                <c:pt idx="139">
                  <c:v>45707</c:v>
                </c:pt>
                <c:pt idx="140">
                  <c:v>45706</c:v>
                </c:pt>
                <c:pt idx="141">
                  <c:v>45705</c:v>
                </c:pt>
                <c:pt idx="142">
                  <c:v>45702</c:v>
                </c:pt>
                <c:pt idx="143">
                  <c:v>45701</c:v>
                </c:pt>
                <c:pt idx="144">
                  <c:v>45700</c:v>
                </c:pt>
                <c:pt idx="145">
                  <c:v>45699</c:v>
                </c:pt>
                <c:pt idx="146">
                  <c:v>45698</c:v>
                </c:pt>
                <c:pt idx="147">
                  <c:v>45695</c:v>
                </c:pt>
                <c:pt idx="148">
                  <c:v>45694</c:v>
                </c:pt>
                <c:pt idx="149">
                  <c:v>45693</c:v>
                </c:pt>
                <c:pt idx="150">
                  <c:v>45692</c:v>
                </c:pt>
                <c:pt idx="151">
                  <c:v>45691</c:v>
                </c:pt>
                <c:pt idx="152">
                  <c:v>45688</c:v>
                </c:pt>
                <c:pt idx="153">
                  <c:v>45687</c:v>
                </c:pt>
                <c:pt idx="154">
                  <c:v>45686</c:v>
                </c:pt>
                <c:pt idx="155">
                  <c:v>45685</c:v>
                </c:pt>
                <c:pt idx="156">
                  <c:v>45684</c:v>
                </c:pt>
                <c:pt idx="157">
                  <c:v>45681</c:v>
                </c:pt>
                <c:pt idx="158">
                  <c:v>45680</c:v>
                </c:pt>
                <c:pt idx="159">
                  <c:v>45679</c:v>
                </c:pt>
                <c:pt idx="160">
                  <c:v>45678</c:v>
                </c:pt>
                <c:pt idx="161">
                  <c:v>45677</c:v>
                </c:pt>
                <c:pt idx="162">
                  <c:v>45674</c:v>
                </c:pt>
                <c:pt idx="163">
                  <c:v>45673</c:v>
                </c:pt>
                <c:pt idx="164">
                  <c:v>45672</c:v>
                </c:pt>
                <c:pt idx="165">
                  <c:v>45671</c:v>
                </c:pt>
                <c:pt idx="166">
                  <c:v>45670</c:v>
                </c:pt>
                <c:pt idx="167">
                  <c:v>45667</c:v>
                </c:pt>
                <c:pt idx="168">
                  <c:v>45666</c:v>
                </c:pt>
                <c:pt idx="169">
                  <c:v>45665</c:v>
                </c:pt>
                <c:pt idx="170">
                  <c:v>45664</c:v>
                </c:pt>
                <c:pt idx="171">
                  <c:v>45663</c:v>
                </c:pt>
                <c:pt idx="172">
                  <c:v>45660</c:v>
                </c:pt>
                <c:pt idx="173">
                  <c:v>45659</c:v>
                </c:pt>
                <c:pt idx="174">
                  <c:v>45658</c:v>
                </c:pt>
              </c:numCache>
            </c:numRef>
          </c:cat>
          <c:val>
            <c:numRef>
              <c:f>Sheet1!$C$2:$C$277</c:f>
              <c:numCache>
                <c:formatCode>General</c:formatCode>
                <c:ptCount val="276"/>
                <c:pt idx="0">
                  <c:v>109.28</c:v>
                </c:pt>
                <c:pt idx="1">
                  <c:v>110.87</c:v>
                </c:pt>
                <c:pt idx="2">
                  <c:v>110.6</c:v>
                </c:pt>
                <c:pt idx="3">
                  <c:v>111.3</c:v>
                </c:pt>
                <c:pt idx="4">
                  <c:v>111.5</c:v>
                </c:pt>
                <c:pt idx="5">
                  <c:v>111.35</c:v>
                </c:pt>
                <c:pt idx="6">
                  <c:v>112.2</c:v>
                </c:pt>
                <c:pt idx="7">
                  <c:v>112.72</c:v>
                </c:pt>
                <c:pt idx="8">
                  <c:v>112.27</c:v>
                </c:pt>
                <c:pt idx="9">
                  <c:v>112.29</c:v>
                </c:pt>
                <c:pt idx="10">
                  <c:v>112.03</c:v>
                </c:pt>
                <c:pt idx="11">
                  <c:v>111.26</c:v>
                </c:pt>
                <c:pt idx="12">
                  <c:v>111.18</c:v>
                </c:pt>
                <c:pt idx="13">
                  <c:v>111.18</c:v>
                </c:pt>
                <c:pt idx="14">
                  <c:v>110.44</c:v>
                </c:pt>
                <c:pt idx="15">
                  <c:v>109.79</c:v>
                </c:pt>
                <c:pt idx="16">
                  <c:v>109.57</c:v>
                </c:pt>
                <c:pt idx="17">
                  <c:v>109.63</c:v>
                </c:pt>
                <c:pt idx="18">
                  <c:v>109.41</c:v>
                </c:pt>
                <c:pt idx="19">
                  <c:v>108.34</c:v>
                </c:pt>
                <c:pt idx="20">
                  <c:v>108.45</c:v>
                </c:pt>
                <c:pt idx="21">
                  <c:v>108.3</c:v>
                </c:pt>
                <c:pt idx="22">
                  <c:v>107.29</c:v>
                </c:pt>
                <c:pt idx="23">
                  <c:v>109.34</c:v>
                </c:pt>
                <c:pt idx="24">
                  <c:v>110.24</c:v>
                </c:pt>
                <c:pt idx="25">
                  <c:v>110.23</c:v>
                </c:pt>
                <c:pt idx="26">
                  <c:v>110.02</c:v>
                </c:pt>
                <c:pt idx="27">
                  <c:v>110.21</c:v>
                </c:pt>
                <c:pt idx="28">
                  <c:v>110.5</c:v>
                </c:pt>
                <c:pt idx="29">
                  <c:v>110.25</c:v>
                </c:pt>
                <c:pt idx="30">
                  <c:v>109.06</c:v>
                </c:pt>
                <c:pt idx="31">
                  <c:v>109.53</c:v>
                </c:pt>
                <c:pt idx="32">
                  <c:v>109.59</c:v>
                </c:pt>
                <c:pt idx="33">
                  <c:v>109.7</c:v>
                </c:pt>
                <c:pt idx="34">
                  <c:v>108.65</c:v>
                </c:pt>
                <c:pt idx="35">
                  <c:v>109.28</c:v>
                </c:pt>
                <c:pt idx="36">
                  <c:v>109.68</c:v>
                </c:pt>
                <c:pt idx="37">
                  <c:v>109.76</c:v>
                </c:pt>
                <c:pt idx="38">
                  <c:v>110.9</c:v>
                </c:pt>
                <c:pt idx="39">
                  <c:v>110.29</c:v>
                </c:pt>
                <c:pt idx="40">
                  <c:v>109.45</c:v>
                </c:pt>
                <c:pt idx="41">
                  <c:v>109.03</c:v>
                </c:pt>
                <c:pt idx="42">
                  <c:v>108.54</c:v>
                </c:pt>
                <c:pt idx="43">
                  <c:v>109.03</c:v>
                </c:pt>
                <c:pt idx="44">
                  <c:v>108.55</c:v>
                </c:pt>
                <c:pt idx="45">
                  <c:v>108.31</c:v>
                </c:pt>
                <c:pt idx="46">
                  <c:v>108.55</c:v>
                </c:pt>
                <c:pt idx="47">
                  <c:v>109.04</c:v>
                </c:pt>
                <c:pt idx="48">
                  <c:v>107.8</c:v>
                </c:pt>
                <c:pt idx="49">
                  <c:v>107.7</c:v>
                </c:pt>
                <c:pt idx="50">
                  <c:v>108.56</c:v>
                </c:pt>
                <c:pt idx="51">
                  <c:v>107.4</c:v>
                </c:pt>
                <c:pt idx="52">
                  <c:v>107.65</c:v>
                </c:pt>
                <c:pt idx="53">
                  <c:v>107.54</c:v>
                </c:pt>
                <c:pt idx="54">
                  <c:v>108.38</c:v>
                </c:pt>
                <c:pt idx="55">
                  <c:v>108.79</c:v>
                </c:pt>
                <c:pt idx="56">
                  <c:v>109.71</c:v>
                </c:pt>
                <c:pt idx="57">
                  <c:v>109.35</c:v>
                </c:pt>
                <c:pt idx="58">
                  <c:v>110.28</c:v>
                </c:pt>
                <c:pt idx="59">
                  <c:v>110.64</c:v>
                </c:pt>
                <c:pt idx="60">
                  <c:v>110.92</c:v>
                </c:pt>
                <c:pt idx="61">
                  <c:v>110.98</c:v>
                </c:pt>
                <c:pt idx="62">
                  <c:v>111.12</c:v>
                </c:pt>
                <c:pt idx="63">
                  <c:v>110.72</c:v>
                </c:pt>
                <c:pt idx="64">
                  <c:v>110.53</c:v>
                </c:pt>
                <c:pt idx="65">
                  <c:v>109.97</c:v>
                </c:pt>
                <c:pt idx="66">
                  <c:v>109.82</c:v>
                </c:pt>
                <c:pt idx="67">
                  <c:v>109.98</c:v>
                </c:pt>
                <c:pt idx="68">
                  <c:v>109.74</c:v>
                </c:pt>
                <c:pt idx="69">
                  <c:v>109.95</c:v>
                </c:pt>
                <c:pt idx="70">
                  <c:v>110.64</c:v>
                </c:pt>
                <c:pt idx="71">
                  <c:v>110.27</c:v>
                </c:pt>
                <c:pt idx="72">
                  <c:v>109.2</c:v>
                </c:pt>
                <c:pt idx="73">
                  <c:v>110.19</c:v>
                </c:pt>
                <c:pt idx="74">
                  <c:v>110.88</c:v>
                </c:pt>
                <c:pt idx="75">
                  <c:v>110.91</c:v>
                </c:pt>
                <c:pt idx="76">
                  <c:v>110.12</c:v>
                </c:pt>
                <c:pt idx="77">
                  <c:v>109.82</c:v>
                </c:pt>
                <c:pt idx="78">
                  <c:v>109.3</c:v>
                </c:pt>
                <c:pt idx="79">
                  <c:v>108.57</c:v>
                </c:pt>
                <c:pt idx="80">
                  <c:v>108.81</c:v>
                </c:pt>
                <c:pt idx="81">
                  <c:v>108.71</c:v>
                </c:pt>
                <c:pt idx="82">
                  <c:v>107.36</c:v>
                </c:pt>
                <c:pt idx="83">
                  <c:v>106.86</c:v>
                </c:pt>
                <c:pt idx="84">
                  <c:v>106.41</c:v>
                </c:pt>
                <c:pt idx="85">
                  <c:v>106.95</c:v>
                </c:pt>
                <c:pt idx="86">
                  <c:v>107.17</c:v>
                </c:pt>
                <c:pt idx="87">
                  <c:v>106.87</c:v>
                </c:pt>
                <c:pt idx="88">
                  <c:v>105.04</c:v>
                </c:pt>
                <c:pt idx="89">
                  <c:v>105.04</c:v>
                </c:pt>
                <c:pt idx="90">
                  <c:v>104.48</c:v>
                </c:pt>
                <c:pt idx="91">
                  <c:v>104.11</c:v>
                </c:pt>
                <c:pt idx="92">
                  <c:v>103.6</c:v>
                </c:pt>
                <c:pt idx="93">
                  <c:v>103.19</c:v>
                </c:pt>
                <c:pt idx="94">
                  <c:v>102.76</c:v>
                </c:pt>
                <c:pt idx="95">
                  <c:v>100.95</c:v>
                </c:pt>
                <c:pt idx="96">
                  <c:v>100.5</c:v>
                </c:pt>
                <c:pt idx="97">
                  <c:v>100.56</c:v>
                </c:pt>
                <c:pt idx="98">
                  <c:v>100.56</c:v>
                </c:pt>
                <c:pt idx="99">
                  <c:v>100.66</c:v>
                </c:pt>
                <c:pt idx="100">
                  <c:v>100.85</c:v>
                </c:pt>
                <c:pt idx="101">
                  <c:v>99.22</c:v>
                </c:pt>
                <c:pt idx="102">
                  <c:v>96.67</c:v>
                </c:pt>
                <c:pt idx="103">
                  <c:v>96.74</c:v>
                </c:pt>
                <c:pt idx="104">
                  <c:v>93.33</c:v>
                </c:pt>
                <c:pt idx="105">
                  <c:v>96.6</c:v>
                </c:pt>
                <c:pt idx="106">
                  <c:v>94.11</c:v>
                </c:pt>
                <c:pt idx="107">
                  <c:v>98.51</c:v>
                </c:pt>
                <c:pt idx="108">
                  <c:v>103.66</c:v>
                </c:pt>
                <c:pt idx="109">
                  <c:v>106.49</c:v>
                </c:pt>
                <c:pt idx="110">
                  <c:v>107.02</c:v>
                </c:pt>
                <c:pt idx="111">
                  <c:v>105.91</c:v>
                </c:pt>
                <c:pt idx="112">
                  <c:v>107.48</c:v>
                </c:pt>
                <c:pt idx="113">
                  <c:v>108.27</c:v>
                </c:pt>
                <c:pt idx="114">
                  <c:v>108.62</c:v>
                </c:pt>
                <c:pt idx="115">
                  <c:v>109.41</c:v>
                </c:pt>
                <c:pt idx="116">
                  <c:v>108.68</c:v>
                </c:pt>
                <c:pt idx="117">
                  <c:v>108.84</c:v>
                </c:pt>
                <c:pt idx="118">
                  <c:v>109.44</c:v>
                </c:pt>
                <c:pt idx="119">
                  <c:v>109.87</c:v>
                </c:pt>
                <c:pt idx="120">
                  <c:v>109.65</c:v>
                </c:pt>
                <c:pt idx="121">
                  <c:v>109.05</c:v>
                </c:pt>
                <c:pt idx="122">
                  <c:v>108.16</c:v>
                </c:pt>
                <c:pt idx="123">
                  <c:v>106.96</c:v>
                </c:pt>
                <c:pt idx="124">
                  <c:v>107.06</c:v>
                </c:pt>
                <c:pt idx="125">
                  <c:v>106.18</c:v>
                </c:pt>
                <c:pt idx="126">
                  <c:v>108</c:v>
                </c:pt>
                <c:pt idx="127">
                  <c:v>109.44</c:v>
                </c:pt>
                <c:pt idx="128">
                  <c:v>109.96</c:v>
                </c:pt>
                <c:pt idx="129">
                  <c:v>110.05</c:v>
                </c:pt>
                <c:pt idx="130">
                  <c:v>109.18</c:v>
                </c:pt>
                <c:pt idx="131">
                  <c:v>111.5</c:v>
                </c:pt>
                <c:pt idx="132">
                  <c:v>110.33</c:v>
                </c:pt>
                <c:pt idx="133">
                  <c:v>110.26</c:v>
                </c:pt>
                <c:pt idx="134">
                  <c:v>110.74</c:v>
                </c:pt>
                <c:pt idx="135">
                  <c:v>109.66</c:v>
                </c:pt>
                <c:pt idx="136">
                  <c:v>109.49</c:v>
                </c:pt>
                <c:pt idx="137">
                  <c:v>109.55</c:v>
                </c:pt>
                <c:pt idx="138">
                  <c:v>109.03</c:v>
                </c:pt>
                <c:pt idx="139">
                  <c:v>109.2</c:v>
                </c:pt>
                <c:pt idx="140">
                  <c:v>110.12</c:v>
                </c:pt>
                <c:pt idx="141">
                  <c:v>109.78</c:v>
                </c:pt>
                <c:pt idx="142">
                  <c:v>109.18</c:v>
                </c:pt>
                <c:pt idx="143">
                  <c:v>109.45</c:v>
                </c:pt>
                <c:pt idx="144">
                  <c:v>108.24</c:v>
                </c:pt>
                <c:pt idx="145">
                  <c:v>108.08</c:v>
                </c:pt>
                <c:pt idx="146">
                  <c:v>107.85</c:v>
                </c:pt>
                <c:pt idx="147">
                  <c:v>107.21</c:v>
                </c:pt>
                <c:pt idx="148">
                  <c:v>107.64</c:v>
                </c:pt>
                <c:pt idx="149">
                  <c:v>106.4</c:v>
                </c:pt>
                <c:pt idx="150">
                  <c:v>105.9</c:v>
                </c:pt>
                <c:pt idx="151">
                  <c:v>105.57</c:v>
                </c:pt>
                <c:pt idx="152">
                  <c:v>106.47</c:v>
                </c:pt>
                <c:pt idx="153">
                  <c:v>106.34</c:v>
                </c:pt>
                <c:pt idx="154">
                  <c:v>105.47</c:v>
                </c:pt>
                <c:pt idx="155">
                  <c:v>104.91</c:v>
                </c:pt>
                <c:pt idx="156">
                  <c:v>104.54</c:v>
                </c:pt>
                <c:pt idx="157">
                  <c:v>104.59</c:v>
                </c:pt>
                <c:pt idx="158">
                  <c:v>104.61</c:v>
                </c:pt>
                <c:pt idx="159">
                  <c:v>104.16</c:v>
                </c:pt>
                <c:pt idx="160">
                  <c:v>103.76</c:v>
                </c:pt>
                <c:pt idx="161">
                  <c:v>103.37</c:v>
                </c:pt>
                <c:pt idx="162">
                  <c:v>103.32</c:v>
                </c:pt>
                <c:pt idx="163">
                  <c:v>102.64</c:v>
                </c:pt>
                <c:pt idx="164">
                  <c:v>101.62</c:v>
                </c:pt>
                <c:pt idx="165">
                  <c:v>100.33</c:v>
                </c:pt>
                <c:pt idx="166">
                  <c:v>100.41</c:v>
                </c:pt>
                <c:pt idx="167">
                  <c:v>100.94</c:v>
                </c:pt>
                <c:pt idx="168">
                  <c:v>101.79</c:v>
                </c:pt>
                <c:pt idx="169">
                  <c:v>101.34</c:v>
                </c:pt>
                <c:pt idx="170">
                  <c:v>101.45</c:v>
                </c:pt>
                <c:pt idx="171">
                  <c:v>101.1</c:v>
                </c:pt>
                <c:pt idx="172">
                  <c:v>100.14</c:v>
                </c:pt>
                <c:pt idx="173">
                  <c:v>100.62</c:v>
                </c:pt>
                <c:pt idx="174">
                  <c:v>100</c:v>
                </c:pt>
              </c:numCache>
            </c:numRef>
          </c:val>
          <c:smooth val="0"/>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70AC-4CDD-9ED4-CC4A42729729}"/>
            </c:ext>
          </c:extLst>
        </c:ser>
        <c:dLbls>
          <c:showLegendKey val="0"/>
          <c:showVal val="0"/>
          <c:showCatName val="0"/>
          <c:showSerName val="0"/>
          <c:showPercent val="0"/>
          <c:showBubbleSize val="0"/>
        </c:dLbls>
        <c:smooth val="0"/>
        <c:axId val="1710314431"/>
        <c:axId val="1710311551"/>
      </c:lineChart>
      <c:dateAx>
        <c:axId val="1710314431"/>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0311551"/>
        <c:crosses val="autoZero"/>
        <c:auto val="1"/>
        <c:lblOffset val="100"/>
        <c:baseTimeUnit val="days"/>
      </c:dateAx>
      <c:valAx>
        <c:axId val="1710311551"/>
        <c:scaling>
          <c:orientation val="minMax"/>
          <c:min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aseline="0"/>
                  <a:t>YTD-Performance (Basis = 100)</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0314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0.38984</cdr:x>
      <cdr:y>0.29751</cdr:y>
    </cdr:from>
    <cdr:to>
      <cdr:x>0.47</cdr:x>
      <cdr:y>0.29751</cdr:y>
    </cdr:to>
    <cdr:cxnSp macro="">
      <cdr:nvCxnSpPr>
        <cdr:cNvPr id="3" name="Straight Connector 2">
          <a:extLst xmlns:a="http://schemas.openxmlformats.org/drawingml/2006/main">
            <a:ext uri="{FF2B5EF4-FFF2-40B4-BE49-F238E27FC236}">
              <a16:creationId xmlns:a16="http://schemas.microsoft.com/office/drawing/2014/main" id="{7551E6F8-45DA-F578-5C5F-72CF4C020854}"/>
            </a:ext>
          </a:extLst>
        </cdr:cNvPr>
        <cdr:cNvCxnSpPr/>
      </cdr:nvCxnSpPr>
      <cdr:spPr>
        <a:xfrm xmlns:a="http://schemas.openxmlformats.org/drawingml/2006/main">
          <a:off x="2590866" y="1275752"/>
          <a:ext cx="532724" cy="0"/>
        </a:xfrm>
        <a:prstGeom xmlns:a="http://schemas.openxmlformats.org/drawingml/2006/main" prst="line">
          <a:avLst/>
        </a:prstGeom>
        <a:ln xmlns:a="http://schemas.openxmlformats.org/drawingml/2006/main"/>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0.40803</cdr:x>
      <cdr:y>0.55287</cdr:y>
    </cdr:from>
    <cdr:to>
      <cdr:x>0.45498</cdr:x>
      <cdr:y>0.55287</cdr:y>
    </cdr:to>
    <cdr:cxnSp macro="">
      <cdr:nvCxnSpPr>
        <cdr:cNvPr id="4" name="Straight Connector 3">
          <a:extLst xmlns:a="http://schemas.openxmlformats.org/drawingml/2006/main">
            <a:ext uri="{FF2B5EF4-FFF2-40B4-BE49-F238E27FC236}">
              <a16:creationId xmlns:a16="http://schemas.microsoft.com/office/drawing/2014/main" id="{7D247B19-336A-80F3-C782-FEF0056161B6}"/>
            </a:ext>
          </a:extLst>
        </cdr:cNvPr>
        <cdr:cNvCxnSpPr/>
      </cdr:nvCxnSpPr>
      <cdr:spPr>
        <a:xfrm xmlns:a="http://schemas.openxmlformats.org/drawingml/2006/main">
          <a:off x="2711755" y="2370808"/>
          <a:ext cx="312025" cy="0"/>
        </a:xfrm>
        <a:prstGeom xmlns:a="http://schemas.openxmlformats.org/drawingml/2006/main" prst="line">
          <a:avLst/>
        </a:prstGeom>
        <a:ln xmlns:a="http://schemas.openxmlformats.org/drawingml/2006/main"/>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0.2935</cdr:x>
      <cdr:y>0.3215</cdr:y>
    </cdr:from>
    <cdr:to>
      <cdr:x>0.34045</cdr:x>
      <cdr:y>0.3215</cdr:y>
    </cdr:to>
    <cdr:cxnSp macro="">
      <cdr:nvCxnSpPr>
        <cdr:cNvPr id="5" name="Straight Connector 4">
          <a:extLst xmlns:a="http://schemas.openxmlformats.org/drawingml/2006/main">
            <a:ext uri="{FF2B5EF4-FFF2-40B4-BE49-F238E27FC236}">
              <a16:creationId xmlns:a16="http://schemas.microsoft.com/office/drawing/2014/main" id="{7D247B19-336A-80F3-C782-FEF0056161B6}"/>
            </a:ext>
          </a:extLst>
        </cdr:cNvPr>
        <cdr:cNvCxnSpPr/>
      </cdr:nvCxnSpPr>
      <cdr:spPr>
        <a:xfrm xmlns:a="http://schemas.openxmlformats.org/drawingml/2006/main">
          <a:off x="1950546" y="1378650"/>
          <a:ext cx="312026" cy="0"/>
        </a:xfrm>
        <a:prstGeom xmlns:a="http://schemas.openxmlformats.org/drawingml/2006/main" prst="line">
          <a:avLst/>
        </a:prstGeom>
        <a:ln xmlns:a="http://schemas.openxmlformats.org/drawingml/2006/main"/>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0.41794</cdr:x>
      <cdr:y>0.71673</cdr:y>
    </cdr:from>
    <cdr:to>
      <cdr:x>0.46489</cdr:x>
      <cdr:y>0.71673</cdr:y>
    </cdr:to>
    <cdr:cxnSp macro="">
      <cdr:nvCxnSpPr>
        <cdr:cNvPr id="6" name="Straight Connector 5">
          <a:extLst xmlns:a="http://schemas.openxmlformats.org/drawingml/2006/main">
            <a:ext uri="{FF2B5EF4-FFF2-40B4-BE49-F238E27FC236}">
              <a16:creationId xmlns:a16="http://schemas.microsoft.com/office/drawing/2014/main" id="{7D247B19-336A-80F3-C782-FEF0056161B6}"/>
            </a:ext>
          </a:extLst>
        </cdr:cNvPr>
        <cdr:cNvCxnSpPr/>
      </cdr:nvCxnSpPr>
      <cdr:spPr>
        <a:xfrm xmlns:a="http://schemas.openxmlformats.org/drawingml/2006/main">
          <a:off x="2777592" y="3073469"/>
          <a:ext cx="312025" cy="0"/>
        </a:xfrm>
        <a:prstGeom xmlns:a="http://schemas.openxmlformats.org/drawingml/2006/main" prst="line">
          <a:avLst/>
        </a:prstGeom>
        <a:ln xmlns:a="http://schemas.openxmlformats.org/drawingml/2006/main"/>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0.31921</cdr:x>
      <cdr:y>0.32753</cdr:y>
    </cdr:from>
    <cdr:to>
      <cdr:x>0.44138</cdr:x>
      <cdr:y>0.71136</cdr:y>
    </cdr:to>
    <cdr:cxnSp macro="">
      <cdr:nvCxnSpPr>
        <cdr:cNvPr id="8" name="Straight Arrow Connector 7">
          <a:extLst xmlns:a="http://schemas.openxmlformats.org/drawingml/2006/main">
            <a:ext uri="{FF2B5EF4-FFF2-40B4-BE49-F238E27FC236}">
              <a16:creationId xmlns:a16="http://schemas.microsoft.com/office/drawing/2014/main" id="{5CFBF018-AA4C-C845-DE87-E8E59F4D53D4}"/>
            </a:ext>
          </a:extLst>
        </cdr:cNvPr>
        <cdr:cNvCxnSpPr/>
      </cdr:nvCxnSpPr>
      <cdr:spPr>
        <a:xfrm xmlns:a="http://schemas.openxmlformats.org/drawingml/2006/main">
          <a:off x="2121408" y="1404518"/>
          <a:ext cx="811987" cy="1645920"/>
        </a:xfrm>
        <a:prstGeom xmlns:a="http://schemas.openxmlformats.org/drawingml/2006/main" prst="straightConnector1">
          <a:avLst/>
        </a:prstGeom>
        <a:ln xmlns:a="http://schemas.openxmlformats.org/drawingml/2006/main" w="19050">
          <a:prstDash val="dash"/>
          <a:tailEnd type="triangle"/>
        </a:ln>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0.44028</cdr:x>
      <cdr:y>0.30536</cdr:y>
    </cdr:from>
    <cdr:to>
      <cdr:x>0.44358</cdr:x>
      <cdr:y>0.53054</cdr:y>
    </cdr:to>
    <cdr:cxnSp macro="">
      <cdr:nvCxnSpPr>
        <cdr:cNvPr id="11" name="Straight Arrow Connector 10">
          <a:extLst xmlns:a="http://schemas.openxmlformats.org/drawingml/2006/main">
            <a:ext uri="{FF2B5EF4-FFF2-40B4-BE49-F238E27FC236}">
              <a16:creationId xmlns:a16="http://schemas.microsoft.com/office/drawing/2014/main" id="{4F128D90-ED0F-4A7C-A6CD-595D49F7F414}"/>
            </a:ext>
          </a:extLst>
        </cdr:cNvPr>
        <cdr:cNvCxnSpPr/>
      </cdr:nvCxnSpPr>
      <cdr:spPr>
        <a:xfrm xmlns:a="http://schemas.openxmlformats.org/drawingml/2006/main">
          <a:off x="2926080" y="1309421"/>
          <a:ext cx="21945" cy="965606"/>
        </a:xfrm>
        <a:prstGeom xmlns:a="http://schemas.openxmlformats.org/drawingml/2006/main" prst="straightConnector1">
          <a:avLst/>
        </a:prstGeom>
        <a:ln xmlns:a="http://schemas.openxmlformats.org/drawingml/2006/main" w="19050">
          <a:prstDash val="dash"/>
          <a:tailEnd type="triangle"/>
        </a:ln>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0.39931</cdr:x>
      <cdr:y>0.24278</cdr:y>
    </cdr:from>
    <cdr:to>
      <cdr:x>0.52114</cdr:x>
      <cdr:y>0.43157</cdr:y>
    </cdr:to>
    <cdr:sp macro="" textlink="">
      <cdr:nvSpPr>
        <cdr:cNvPr id="13" name="TextBox 12">
          <a:extLst xmlns:a="http://schemas.openxmlformats.org/drawingml/2006/main">
            <a:ext uri="{FF2B5EF4-FFF2-40B4-BE49-F238E27FC236}">
              <a16:creationId xmlns:a16="http://schemas.microsoft.com/office/drawing/2014/main" id="{6DA99341-C72B-359E-AB0B-8B6603ADE028}"/>
            </a:ext>
          </a:extLst>
        </cdr:cNvPr>
        <cdr:cNvSpPr txBox="1"/>
      </cdr:nvSpPr>
      <cdr:spPr>
        <a:xfrm xmlns:a="http://schemas.openxmlformats.org/drawingml/2006/main">
          <a:off x="2653750" y="1041060"/>
          <a:ext cx="809671" cy="80956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b="1" kern="1200">
              <a:solidFill>
                <a:schemeClr val="accent3"/>
              </a:solidFill>
            </a:rPr>
            <a:t>-10,3 %</a:t>
          </a:r>
        </a:p>
      </cdr:txBody>
    </cdr:sp>
  </cdr:relSizeAnchor>
  <cdr:relSizeAnchor xmlns:cdr="http://schemas.openxmlformats.org/drawingml/2006/chartDrawing">
    <cdr:from>
      <cdr:x>0.31143</cdr:x>
      <cdr:y>0.54232</cdr:y>
    </cdr:from>
    <cdr:to>
      <cdr:x>0.39222</cdr:x>
      <cdr:y>0.60951</cdr:y>
    </cdr:to>
    <cdr:sp macro="" textlink="">
      <cdr:nvSpPr>
        <cdr:cNvPr id="14" name="TextBox 1">
          <a:extLst xmlns:a="http://schemas.openxmlformats.org/drawingml/2006/main">
            <a:ext uri="{FF2B5EF4-FFF2-40B4-BE49-F238E27FC236}">
              <a16:creationId xmlns:a16="http://schemas.microsoft.com/office/drawing/2014/main" id="{428231D9-D5E1-A025-18A8-20D6EE6CA0F6}"/>
            </a:ext>
          </a:extLst>
        </cdr:cNvPr>
        <cdr:cNvSpPr txBox="1"/>
      </cdr:nvSpPr>
      <cdr:spPr>
        <a:xfrm xmlns:a="http://schemas.openxmlformats.org/drawingml/2006/main">
          <a:off x="2069703" y="2325542"/>
          <a:ext cx="536989" cy="28812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kern="1200">
              <a:solidFill>
                <a:schemeClr val="accent3"/>
              </a:solidFill>
            </a:rPr>
            <a:t>-16,2 %</a:t>
          </a:r>
        </a:p>
      </cdr:txBody>
    </cdr:sp>
  </cdr:relSizeAnchor>
</c:userShapes>
</file>

<file path=word/theme/theme1.xml><?xml version="1.0" encoding="utf-8"?>
<a:theme xmlns:a="http://schemas.openxmlformats.org/drawingml/2006/main" name="4x3">
  <a:themeElements>
    <a:clrScheme name="FT Color Palette">
      <a:dk1>
        <a:srgbClr val="000000"/>
      </a:dk1>
      <a:lt1>
        <a:srgbClr val="FFFFFF"/>
      </a:lt1>
      <a:dk2>
        <a:srgbClr val="E1F7F7"/>
      </a:dk2>
      <a:lt2>
        <a:srgbClr val="FFFFFF"/>
      </a:lt2>
      <a:accent1>
        <a:srgbClr val="3769FF"/>
      </a:accent1>
      <a:accent2>
        <a:srgbClr val="00BFB3"/>
      </a:accent2>
      <a:accent3>
        <a:srgbClr val="FF6035"/>
      </a:accent3>
      <a:accent4>
        <a:srgbClr val="6730E3"/>
      </a:accent4>
      <a:accent5>
        <a:srgbClr val="BFBFBF"/>
      </a:accent5>
      <a:accent6>
        <a:srgbClr val="C042EA"/>
      </a:accent6>
      <a:hlink>
        <a:srgbClr val="3769FF"/>
      </a:hlink>
      <a:folHlink>
        <a:srgbClr val="21212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3769FF"/>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sz="4800" dirty="0" smtClean="0">
            <a:solidFill>
              <a:schemeClr val="accent2"/>
            </a:solidFill>
          </a:defRPr>
        </a:defPPr>
      </a:lstStyle>
    </a:txDef>
  </a:objectDefaults>
  <a:extraClrSchemeLst/>
  <a:custClrLst>
    <a:custClr name="FT SKY BLUE">
      <a:srgbClr val="3769FF"/>
    </a:custClr>
    <a:custClr name="FT TEAL">
      <a:srgbClr val="00BFB3"/>
    </a:custClr>
    <a:custClr name="FT ORANGE3">
      <a:srgbClr val="FF6035"/>
    </a:custClr>
    <a:custClr name="FT PURPLE">
      <a:srgbClr val="6730E3"/>
    </a:custClr>
    <a:custClr name="FT GRAY2">
      <a:srgbClr val="BFBFBF"/>
    </a:custClr>
    <a:custClr name="FT FUCHSIA">
      <a:srgbClr val="C042EA"/>
    </a:custClr>
    <a:custClr name="BLANK">
      <a:srgbClr val="FFFFFF"/>
    </a:custClr>
    <a:custClr name="BLANK">
      <a:srgbClr val="FFFFFF"/>
    </a:custClr>
    <a:custClr name="BLANK">
      <a:srgbClr val="FFFFFF"/>
    </a:custClr>
    <a:custClr name="BLANK">
      <a:srgbClr val="FFFFFF"/>
    </a:custClr>
    <a:custClr name="FT SKY BLUE">
      <a:srgbClr val="3769FF"/>
    </a:custClr>
    <a:custClr name="FT TEAL2">
      <a:srgbClr val="72DBD5"/>
    </a:custClr>
    <a:custClr name="FT SKY BLUE2">
      <a:srgbClr val="91B9FF"/>
    </a:custClr>
    <a:custClr name="BENCHMARK GRAY">
      <a:srgbClr val="D9D9D9"/>
    </a:custClr>
    <a:custClr name="FT GRAY2">
      <a:srgbClr val="BFBFBF"/>
    </a:custClr>
    <a:custClr name="FT GRAY3">
      <a:srgbClr val="8C8C8C"/>
    </a:custClr>
    <a:custClr name="BLANK">
      <a:srgbClr val="FFFFFF"/>
    </a:custClr>
    <a:custClr name="BLANK">
      <a:srgbClr val="FFFFFF"/>
    </a:custClr>
    <a:custClr name="BLANK">
      <a:srgbClr val="FFFFFF"/>
    </a:custClr>
    <a:custClr name="BLANK">
      <a:srgbClr val="FFFFFF"/>
    </a:custClr>
    <a:custClr name="FT SKY BLUE">
      <a:srgbClr val="3769FF"/>
    </a:custClr>
    <a:custClr name="FT PURPLE">
      <a:srgbClr val="6730E3"/>
    </a:custClr>
    <a:custClr name="FT TEAL3">
      <a:srgbClr val="00A096"/>
    </a:custClr>
    <a:custClr name="FT TEAL1">
      <a:srgbClr val="E1F7F7"/>
    </a:custClr>
    <a:custClr name="FT GRAY4">
      <a:srgbClr val="595959"/>
    </a:custClr>
    <a:custClr name="FT GRAY1">
      <a:srgbClr val="E6E6E6"/>
    </a:custClr>
    <a:custClr name="FT SKY BLUE1">
      <a:srgbClr val="DDEAFF"/>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4x3" id="{6BA79A19-EE57-470A-9606-BE19FEAF0FF1}" vid="{72B05414-AD47-4711-9E64-8500542766E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003C9-6BF1-4A5F-8113-423CCBF4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8216</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Cleavon</dc:creator>
  <cp:keywords>, docId:0885907EBA2D12812B5C952FDB657ACE</cp:keywords>
  <dc:description/>
  <cp:lastModifiedBy>Birte Freese</cp:lastModifiedBy>
  <cp:revision>15</cp:revision>
  <cp:lastPrinted>2025-09-10T12:23:00Z</cp:lastPrinted>
  <dcterms:created xsi:type="dcterms:W3CDTF">2025-09-11T14:12:00Z</dcterms:created>
  <dcterms:modified xsi:type="dcterms:W3CDTF">2025-09-11T14:28:00Z</dcterms:modified>
</cp:coreProperties>
</file>