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E4B7" w14:textId="079CA282" w:rsidR="00EA04E9" w:rsidRDefault="008F4085" w:rsidP="00871FFE">
      <w:pPr>
        <w:jc w:val="left"/>
        <w:rPr>
          <w:rFonts w:ascii="BNPP Sans Light" w:hAnsi="BNPP Sans Light"/>
          <w:highlight w:val="yellow"/>
          <w:lang w:val="en-GB"/>
        </w:rPr>
      </w:pPr>
      <w:r>
        <w:rPr>
          <w:rFonts w:ascii="BNPP Sans Light" w:hAnsi="BNPP Sans Light"/>
          <w:noProof/>
          <w:lang w:eastAsia="fr-FR"/>
        </w:rPr>
        <w:drawing>
          <wp:inline distT="0" distB="0" distL="0" distR="0" wp14:anchorId="70AF11EE" wp14:editId="4508B82B">
            <wp:extent cx="1631495" cy="394283"/>
            <wp:effectExtent l="0" t="0" r="0" b="0"/>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11"/>
                    <a:stretch>
                      <a:fillRect/>
                    </a:stretch>
                  </pic:blipFill>
                  <pic:spPr>
                    <a:xfrm>
                      <a:off x="0" y="0"/>
                      <a:ext cx="1764613" cy="426454"/>
                    </a:xfrm>
                    <a:prstGeom prst="rect">
                      <a:avLst/>
                    </a:prstGeom>
                  </pic:spPr>
                </pic:pic>
              </a:graphicData>
            </a:graphic>
          </wp:inline>
        </w:drawing>
      </w:r>
      <w:r w:rsidR="00057EE7">
        <w:rPr>
          <w:rFonts w:ascii="BNPP Sans Light" w:hAnsi="BNPP Sans Light"/>
          <w:lang w:val="en-GB"/>
        </w:rPr>
        <w:tab/>
      </w:r>
      <w:r w:rsidR="00057EE7">
        <w:rPr>
          <w:rFonts w:ascii="BNPP Sans Light" w:hAnsi="BNPP Sans Light"/>
          <w:lang w:val="en-GB"/>
        </w:rPr>
        <w:tab/>
      </w:r>
      <w:r w:rsidR="00057EE7">
        <w:rPr>
          <w:rFonts w:ascii="BNPP Sans Light" w:hAnsi="BNPP Sans Light"/>
          <w:lang w:val="en-GB"/>
        </w:rPr>
        <w:tab/>
      </w:r>
      <w:r w:rsidR="00057EE7">
        <w:rPr>
          <w:rFonts w:ascii="BNPP Sans Light" w:hAnsi="BNPP Sans Light"/>
          <w:lang w:val="en-GB"/>
        </w:rPr>
        <w:tab/>
      </w:r>
      <w:r w:rsidR="00057EE7">
        <w:rPr>
          <w:rFonts w:ascii="BNPP Sans Light" w:hAnsi="BNPP Sans Light"/>
          <w:lang w:val="en-GB"/>
        </w:rPr>
        <w:tab/>
      </w:r>
      <w:r w:rsidR="00057EE7">
        <w:rPr>
          <w:rFonts w:ascii="BNPP Sans Light" w:hAnsi="BNPP Sans Light"/>
          <w:lang w:val="en-GB"/>
        </w:rPr>
        <w:tab/>
      </w:r>
      <w:r w:rsidR="00057EE7">
        <w:rPr>
          <w:rFonts w:ascii="BNPP Sans Light" w:hAnsi="BNPP Sans Light"/>
          <w:lang w:val="en-GB"/>
        </w:rPr>
        <w:tab/>
      </w:r>
      <w:r w:rsidR="00057EE7">
        <w:rPr>
          <w:noProof/>
          <w:lang w:eastAsia="fr-FR"/>
        </w:rPr>
        <w:drawing>
          <wp:inline distT="0" distB="0" distL="0" distR="0" wp14:anchorId="794CEECE" wp14:editId="17725232">
            <wp:extent cx="1785668" cy="425365"/>
            <wp:effectExtent l="0" t="0" r="508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_release_AM_EN.jpg"/>
                    <pic:cNvPicPr/>
                  </pic:nvPicPr>
                  <pic:blipFill rotWithShape="1">
                    <a:blip r:embed="rId12">
                      <a:extLst>
                        <a:ext uri="{28A0092B-C50C-407E-A947-70E740481C1C}">
                          <a14:useLocalDpi xmlns:a14="http://schemas.microsoft.com/office/drawing/2010/main" val="0"/>
                        </a:ext>
                      </a:extLst>
                    </a:blip>
                    <a:srcRect r="55718"/>
                    <a:stretch/>
                  </pic:blipFill>
                  <pic:spPr bwMode="auto">
                    <a:xfrm>
                      <a:off x="0" y="0"/>
                      <a:ext cx="1815180" cy="432395"/>
                    </a:xfrm>
                    <a:prstGeom prst="rect">
                      <a:avLst/>
                    </a:prstGeom>
                    <a:ln>
                      <a:noFill/>
                    </a:ln>
                    <a:extLst>
                      <a:ext uri="{53640926-AAD7-44D8-BBD7-CCE9431645EC}">
                        <a14:shadowObscured xmlns:a14="http://schemas.microsoft.com/office/drawing/2010/main"/>
                      </a:ext>
                    </a:extLst>
                  </pic:spPr>
                </pic:pic>
              </a:graphicData>
            </a:graphic>
          </wp:inline>
        </w:drawing>
      </w:r>
    </w:p>
    <w:p w14:paraId="3A809933" w14:textId="77777777" w:rsidR="00057EE7" w:rsidRDefault="00057EE7" w:rsidP="00871FFE">
      <w:pPr>
        <w:jc w:val="left"/>
        <w:rPr>
          <w:rFonts w:ascii="BNPP Sans Light" w:hAnsi="BNPP Sans Light"/>
          <w:highlight w:val="yellow"/>
          <w:lang w:val="en-GB"/>
        </w:rPr>
      </w:pPr>
    </w:p>
    <w:p w14:paraId="366A071E" w14:textId="4A5CF72C" w:rsidR="003C2DF2" w:rsidRDefault="004A1E62" w:rsidP="00871FFE">
      <w:pPr>
        <w:jc w:val="left"/>
        <w:rPr>
          <w:rFonts w:ascii="BNPP Sans Light" w:hAnsi="BNPP Sans Light"/>
          <w:lang w:val="en-GB"/>
        </w:rPr>
      </w:pPr>
      <w:r w:rsidRPr="004A1E62">
        <w:rPr>
          <w:rFonts w:ascii="BNPP Sans Light" w:hAnsi="BNPP Sans Light"/>
          <w:lang w:val="en-GB"/>
        </w:rPr>
        <w:t>13</w:t>
      </w:r>
      <w:r w:rsidR="00033D1F" w:rsidRPr="004A1E62">
        <w:rPr>
          <w:rFonts w:ascii="BNPP Sans Light" w:hAnsi="BNPP Sans Light"/>
          <w:lang w:val="en-GB"/>
        </w:rPr>
        <w:t xml:space="preserve"> </w:t>
      </w:r>
      <w:r w:rsidR="00402208" w:rsidRPr="004A1E62">
        <w:rPr>
          <w:rFonts w:ascii="BNPP Sans Light" w:hAnsi="BNPP Sans Light"/>
          <w:lang w:val="en-GB"/>
        </w:rPr>
        <w:t>June</w:t>
      </w:r>
      <w:r w:rsidR="00CF05B2" w:rsidRPr="004A1E62">
        <w:rPr>
          <w:rFonts w:ascii="BNPP Sans Light" w:hAnsi="BNPP Sans Light"/>
          <w:lang w:val="en-GB"/>
        </w:rPr>
        <w:t xml:space="preserve"> </w:t>
      </w:r>
      <w:r w:rsidR="00D94255" w:rsidRPr="004A1E62">
        <w:rPr>
          <w:rFonts w:ascii="BNPP Sans Light" w:hAnsi="BNPP Sans Light"/>
          <w:lang w:val="en-GB"/>
        </w:rPr>
        <w:t>202</w:t>
      </w:r>
      <w:r w:rsidR="00CF05B2" w:rsidRPr="004A1E62">
        <w:rPr>
          <w:rFonts w:ascii="BNPP Sans Light" w:hAnsi="BNPP Sans Light"/>
          <w:lang w:val="en-GB"/>
        </w:rPr>
        <w:t>2</w:t>
      </w:r>
      <w:r w:rsidR="00871FFE">
        <w:rPr>
          <w:rFonts w:ascii="BNPP Sans Light" w:hAnsi="BNPP Sans Light"/>
          <w:lang w:val="en-GB"/>
        </w:rPr>
        <w:tab/>
      </w:r>
      <w:r w:rsidR="00871FFE">
        <w:rPr>
          <w:rFonts w:ascii="BNPP Sans Light" w:hAnsi="BNPP Sans Light"/>
          <w:lang w:val="en-GB"/>
        </w:rPr>
        <w:tab/>
      </w:r>
      <w:r w:rsidR="00871FFE">
        <w:rPr>
          <w:rFonts w:ascii="BNPP Sans Light" w:hAnsi="BNPP Sans Light"/>
          <w:lang w:val="en-GB"/>
        </w:rPr>
        <w:tab/>
      </w:r>
      <w:r w:rsidR="00871FFE">
        <w:rPr>
          <w:rFonts w:ascii="BNPP Sans Light" w:hAnsi="BNPP Sans Light"/>
          <w:lang w:val="en-GB"/>
        </w:rPr>
        <w:tab/>
      </w:r>
      <w:r w:rsidR="005C726B">
        <w:rPr>
          <w:rFonts w:ascii="BNPP Sans Light" w:hAnsi="BNPP Sans Light"/>
          <w:lang w:val="en-GB"/>
        </w:rPr>
        <w:tab/>
      </w:r>
      <w:r w:rsidR="00871FFE">
        <w:rPr>
          <w:rFonts w:ascii="BNPP Sans Light" w:hAnsi="BNPP Sans Light"/>
          <w:lang w:val="en-GB"/>
        </w:rPr>
        <w:tab/>
      </w:r>
      <w:r w:rsidR="00E9029A">
        <w:rPr>
          <w:rFonts w:ascii="BNPP Sans Light" w:hAnsi="BNPP Sans Light"/>
          <w:lang w:val="en-GB"/>
        </w:rPr>
        <w:tab/>
      </w:r>
      <w:r w:rsidR="00871FFE">
        <w:rPr>
          <w:rFonts w:ascii="BNPP Sans Light" w:hAnsi="BNPP Sans Light"/>
          <w:lang w:val="en-GB"/>
        </w:rPr>
        <w:t>Marketing Communication: For media use</w:t>
      </w:r>
    </w:p>
    <w:p w14:paraId="0C7F2AD9" w14:textId="2D64EEE4" w:rsidR="009A122A" w:rsidRPr="00E573AF" w:rsidRDefault="009A122A" w:rsidP="00871FFE">
      <w:pPr>
        <w:jc w:val="left"/>
        <w:rPr>
          <w:rFonts w:ascii="BNPP Sans Light" w:hAnsi="BNPP Sans Light"/>
          <w:lang w:val="en-GB"/>
        </w:rPr>
      </w:pPr>
      <w:r>
        <w:rPr>
          <w:rFonts w:ascii="BNPP Sans Light" w:hAnsi="BNPP Sans Light"/>
          <w:lang w:val="en-GB"/>
        </w:rPr>
        <w:tab/>
      </w:r>
      <w:r>
        <w:rPr>
          <w:rFonts w:ascii="BNPP Sans Light" w:hAnsi="BNPP Sans Light"/>
          <w:lang w:val="en-GB"/>
        </w:rPr>
        <w:tab/>
      </w:r>
      <w:r>
        <w:rPr>
          <w:rFonts w:ascii="BNPP Sans Light" w:hAnsi="BNPP Sans Light"/>
          <w:lang w:val="en-GB"/>
        </w:rPr>
        <w:tab/>
      </w:r>
      <w:r>
        <w:rPr>
          <w:rFonts w:ascii="BNPP Sans Light" w:hAnsi="BNPP Sans Light"/>
          <w:lang w:val="en-GB"/>
        </w:rPr>
        <w:tab/>
      </w:r>
      <w:r>
        <w:rPr>
          <w:rFonts w:ascii="BNPP Sans Light" w:hAnsi="BNPP Sans Light"/>
          <w:lang w:val="en-GB"/>
        </w:rPr>
        <w:tab/>
      </w:r>
      <w:r>
        <w:rPr>
          <w:rFonts w:ascii="BNPP Sans Light" w:hAnsi="BNPP Sans Light"/>
          <w:lang w:val="en-GB"/>
        </w:rPr>
        <w:tab/>
      </w:r>
      <w:r>
        <w:rPr>
          <w:rFonts w:ascii="BNPP Sans Light" w:hAnsi="BNPP Sans Light"/>
          <w:lang w:val="en-GB"/>
        </w:rPr>
        <w:tab/>
      </w:r>
      <w:r>
        <w:rPr>
          <w:rFonts w:ascii="BNPP Sans Light" w:hAnsi="BNPP Sans Light"/>
          <w:lang w:val="en-GB"/>
        </w:rPr>
        <w:tab/>
        <w:t>For professional investors</w:t>
      </w:r>
    </w:p>
    <w:p w14:paraId="1C9FED08" w14:textId="77777777" w:rsidR="00B138C5" w:rsidRPr="006730A1" w:rsidRDefault="00991878" w:rsidP="008C4C01">
      <w:pPr>
        <w:rPr>
          <w:lang w:val="en-GB"/>
        </w:rPr>
      </w:pPr>
      <w:r w:rsidRPr="006730A1">
        <w:rPr>
          <w:noProof/>
          <w:lang w:eastAsia="fr-FR"/>
        </w:rPr>
        <mc:AlternateContent>
          <mc:Choice Requires="wps">
            <w:drawing>
              <wp:inline distT="0" distB="0" distL="0" distR="0" wp14:anchorId="44AC3163" wp14:editId="1CEF711E">
                <wp:extent cx="6479177" cy="270000"/>
                <wp:effectExtent l="0" t="0" r="0" b="0"/>
                <wp:docPr id="6" name="Rectangle 6"/>
                <wp:cNvGraphicFramePr/>
                <a:graphic xmlns:a="http://schemas.openxmlformats.org/drawingml/2006/main">
                  <a:graphicData uri="http://schemas.microsoft.com/office/word/2010/wordprocessingShape">
                    <wps:wsp>
                      <wps:cNvSpPr/>
                      <wps:spPr>
                        <a:xfrm>
                          <a:off x="0" y="0"/>
                          <a:ext cx="6479177" cy="270000"/>
                        </a:xfrm>
                        <a:prstGeom prst="rect">
                          <a:avLst/>
                        </a:prstGeom>
                        <a:solidFill>
                          <a:schemeClr val="accent1"/>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72D6DC" w14:textId="74560011" w:rsidR="00991878" w:rsidRDefault="00580D3F" w:rsidP="008C4C01">
                            <w:pPr>
                              <w:pStyle w:val="Untertitel"/>
                            </w:pPr>
                            <w:r>
                              <w:t>PRESS RELEASE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44AC3163" id="Rectangle 6" o:spid="_x0000_s1026" style="width:510.1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" fillcolor="#00a76c [3204]" stroked="f" strokeweight=".25pt">
                <v:textbox inset="0,0,0,0">
                  <w:txbxContent>
                    <w:p w14:paraId="6672D6DC" w14:textId="74560011" w:rsidR="00991878" w:rsidRDefault="00580D3F" w:rsidP="008C4C01">
                      <w:pPr>
                        <w:pStyle w:val="Untertitel"/>
                      </w:pPr>
                      <w:r>
                        <w:t>PRESS RELEASE</w:t>
                      </w:r>
                    </w:p>
                  </w:txbxContent>
                </v:textbox>
                <w10:anchorlock/>
              </v:rect>
            </w:pict>
          </mc:Fallback>
        </mc:AlternateContent>
      </w:r>
    </w:p>
    <w:p w14:paraId="3E278485" w14:textId="77777777" w:rsidR="00D26BAF" w:rsidRPr="006730A1" w:rsidRDefault="00D26BAF" w:rsidP="00D26BAF">
      <w:pPr>
        <w:widowControl w:val="0"/>
        <w:rPr>
          <w:rFonts w:ascii="BNPP Sans" w:hAnsi="BNPP Sans"/>
          <w:b/>
          <w:sz w:val="20"/>
          <w:lang w:val="en-GB"/>
        </w:rPr>
      </w:pPr>
    </w:p>
    <w:p w14:paraId="27985B60" w14:textId="0C99BD33" w:rsidR="00561C3D" w:rsidRPr="00C65575" w:rsidRDefault="00776F33" w:rsidP="00D810F9">
      <w:pPr>
        <w:widowControl w:val="0"/>
        <w:spacing w:line="240" w:lineRule="auto"/>
        <w:rPr>
          <w:rFonts w:ascii="BNPP Sans" w:hAnsi="BNPP Sans"/>
          <w:b/>
          <w:sz w:val="36"/>
          <w:szCs w:val="36"/>
          <w:lang w:val="en-GB"/>
        </w:rPr>
      </w:pPr>
      <w:r>
        <w:rPr>
          <w:rFonts w:ascii="BNPP Sans" w:hAnsi="BNPP Sans"/>
          <w:b/>
          <w:sz w:val="36"/>
          <w:szCs w:val="36"/>
          <w:lang w:val="en-GB"/>
        </w:rPr>
        <w:t>Matter</w:t>
      </w:r>
      <w:r w:rsidR="001F2047">
        <w:rPr>
          <w:rFonts w:ascii="BNPP Sans" w:hAnsi="BNPP Sans"/>
          <w:b/>
          <w:sz w:val="36"/>
          <w:szCs w:val="36"/>
          <w:lang w:val="en-GB"/>
        </w:rPr>
        <w:t xml:space="preserve"> is partnering with BNP Paribas Asset Management to</w:t>
      </w:r>
      <w:r>
        <w:rPr>
          <w:rFonts w:ascii="BNPP Sans" w:hAnsi="BNPP Sans"/>
          <w:b/>
          <w:sz w:val="36"/>
          <w:szCs w:val="36"/>
          <w:lang w:val="en-GB"/>
        </w:rPr>
        <w:t xml:space="preserve"> launch </w:t>
      </w:r>
      <w:r w:rsidR="00FB445C" w:rsidRPr="00402208">
        <w:rPr>
          <w:rFonts w:ascii="BNPP Sans" w:hAnsi="BNPP Sans"/>
          <w:b/>
          <w:sz w:val="36"/>
          <w:szCs w:val="36"/>
          <w:lang w:val="en-GB"/>
        </w:rPr>
        <w:t>‘SDG Fundamentals’</w:t>
      </w:r>
      <w:r w:rsidR="00402208" w:rsidRPr="00402208">
        <w:rPr>
          <w:rFonts w:ascii="BNPP Sans" w:hAnsi="BNPP Sans"/>
          <w:b/>
          <w:sz w:val="36"/>
          <w:szCs w:val="36"/>
          <w:lang w:val="en-GB"/>
        </w:rPr>
        <w:t xml:space="preserve"> revenue alignment </w:t>
      </w:r>
      <w:r w:rsidR="00BA7C8F">
        <w:rPr>
          <w:rFonts w:ascii="BNPP Sans" w:hAnsi="BNPP Sans"/>
          <w:b/>
          <w:sz w:val="36"/>
          <w:szCs w:val="36"/>
          <w:lang w:val="en-GB"/>
        </w:rPr>
        <w:t>data solution</w:t>
      </w:r>
    </w:p>
    <w:p w14:paraId="32C88EDC" w14:textId="531D6CC8" w:rsidR="00CE3459" w:rsidRPr="00C65575" w:rsidRDefault="00CE3459" w:rsidP="00D810F9">
      <w:pPr>
        <w:pStyle w:val="Default"/>
        <w:jc w:val="both"/>
        <w:rPr>
          <w:rStyle w:val="Hyperlink"/>
          <w:rFonts w:ascii="BNPP Sans Light" w:eastAsiaTheme="minorHAnsi" w:hAnsi="BNPP Sans Light" w:cs="Times New Roman"/>
          <w:color w:val="auto"/>
          <w:sz w:val="21"/>
          <w:szCs w:val="21"/>
          <w:lang w:val="en-GB" w:eastAsia="en-US"/>
        </w:rPr>
      </w:pPr>
    </w:p>
    <w:p w14:paraId="6AFB3349" w14:textId="1195EEA7" w:rsidR="00CF6CBB" w:rsidRPr="00402208" w:rsidRDefault="00402208" w:rsidP="00CF6CBB">
      <w:pPr>
        <w:rPr>
          <w:rFonts w:ascii="BNPP Sans Light" w:hAnsi="BNPP Sans Light"/>
          <w:b/>
          <w:sz w:val="22"/>
          <w:szCs w:val="22"/>
          <w:lang w:val="en-US"/>
        </w:rPr>
      </w:pPr>
      <w:r w:rsidRPr="006866D0">
        <w:rPr>
          <w:rFonts w:ascii="BNPP Sans Light" w:hAnsi="BNPP Sans Light"/>
          <w:b/>
          <w:sz w:val="22"/>
          <w:szCs w:val="22"/>
          <w:shd w:val="clear" w:color="auto" w:fill="FFFFFF"/>
          <w:lang w:val="en-US"/>
        </w:rPr>
        <w:t xml:space="preserve">BNP Paribas Asset Management (‘BNPP AM’) and Matter, </w:t>
      </w:r>
      <w:r w:rsidRPr="006866D0">
        <w:rPr>
          <w:rFonts w:ascii="BNPP Sans Light" w:hAnsi="BNPP Sans Light"/>
          <w:b/>
          <w:sz w:val="22"/>
          <w:szCs w:val="22"/>
          <w:lang w:val="en-US"/>
        </w:rPr>
        <w:t xml:space="preserve">a Danish fintech </w:t>
      </w:r>
      <w:proofErr w:type="spellStart"/>
      <w:r w:rsidRPr="006866D0">
        <w:rPr>
          <w:rFonts w:ascii="BNPP Sans Light" w:hAnsi="BNPP Sans Light"/>
          <w:b/>
          <w:sz w:val="22"/>
          <w:szCs w:val="22"/>
          <w:lang w:val="en-US"/>
        </w:rPr>
        <w:t>specialising</w:t>
      </w:r>
      <w:proofErr w:type="spellEnd"/>
      <w:r w:rsidRPr="006866D0">
        <w:rPr>
          <w:rFonts w:ascii="BNPP Sans Light" w:hAnsi="BNPP Sans Light"/>
          <w:b/>
          <w:sz w:val="22"/>
          <w:szCs w:val="22"/>
          <w:lang w:val="en-US"/>
        </w:rPr>
        <w:t xml:space="preserve"> in sustainability insights, </w:t>
      </w:r>
      <w:r w:rsidRPr="006866D0">
        <w:rPr>
          <w:rFonts w:ascii="BNPP Sans Light" w:hAnsi="BNPP Sans Light"/>
          <w:b/>
          <w:sz w:val="22"/>
          <w:szCs w:val="22"/>
          <w:shd w:val="clear" w:color="auto" w:fill="FFFFFF"/>
          <w:lang w:val="en-US"/>
        </w:rPr>
        <w:t>today announce</w:t>
      </w:r>
      <w:r w:rsidR="006A128B" w:rsidRPr="006866D0">
        <w:rPr>
          <w:rFonts w:ascii="BNPP Sans Light" w:hAnsi="BNPP Sans Light"/>
          <w:b/>
          <w:sz w:val="22"/>
          <w:szCs w:val="22"/>
          <w:shd w:val="clear" w:color="auto" w:fill="FFFFFF"/>
          <w:lang w:val="en-US"/>
        </w:rPr>
        <w:t>d</w:t>
      </w:r>
      <w:r w:rsidRPr="006866D0">
        <w:rPr>
          <w:rFonts w:ascii="BNPP Sans Light" w:hAnsi="BNPP Sans Light"/>
          <w:b/>
          <w:sz w:val="22"/>
          <w:szCs w:val="22"/>
          <w:shd w:val="clear" w:color="auto" w:fill="FFFFFF"/>
          <w:lang w:val="en-US"/>
        </w:rPr>
        <w:t xml:space="preserve"> the </w:t>
      </w:r>
      <w:r w:rsidR="00CF6CBB" w:rsidRPr="006866D0">
        <w:rPr>
          <w:rFonts w:ascii="BNPP Sans Light" w:hAnsi="BNPP Sans Light"/>
          <w:b/>
          <w:sz w:val="22"/>
          <w:szCs w:val="22"/>
          <w:lang w:val="en-US"/>
        </w:rPr>
        <w:t>launch</w:t>
      </w:r>
      <w:r w:rsidRPr="006866D0">
        <w:rPr>
          <w:rFonts w:ascii="BNPP Sans Light" w:hAnsi="BNPP Sans Light"/>
          <w:b/>
          <w:sz w:val="22"/>
          <w:szCs w:val="22"/>
          <w:lang w:val="en-US"/>
        </w:rPr>
        <w:t xml:space="preserve"> of</w:t>
      </w:r>
      <w:r w:rsidR="00CF6CBB" w:rsidRPr="006866D0">
        <w:rPr>
          <w:rFonts w:ascii="BNPP Sans Light" w:hAnsi="BNPP Sans Light"/>
          <w:b/>
          <w:sz w:val="22"/>
          <w:szCs w:val="22"/>
          <w:lang w:val="en-US"/>
        </w:rPr>
        <w:t xml:space="preserve"> ‘SDG Fundamentals’, a</w:t>
      </w:r>
      <w:r w:rsidRPr="006866D0">
        <w:rPr>
          <w:rFonts w:ascii="BNPP Sans Light" w:hAnsi="BNPP Sans Light"/>
          <w:b/>
          <w:sz w:val="22"/>
          <w:szCs w:val="22"/>
          <w:lang w:val="en-US"/>
        </w:rPr>
        <w:t xml:space="preserve">n innovative </w:t>
      </w:r>
      <w:r w:rsidR="00CF6CBB" w:rsidRPr="006866D0">
        <w:rPr>
          <w:rFonts w:ascii="BNPP Sans Light" w:hAnsi="BNPP Sans Light"/>
          <w:b/>
          <w:sz w:val="22"/>
          <w:szCs w:val="22"/>
          <w:lang w:val="en-US"/>
        </w:rPr>
        <w:t>data solution</w:t>
      </w:r>
      <w:r w:rsidRPr="006866D0">
        <w:rPr>
          <w:rFonts w:ascii="BNPP Sans Light" w:hAnsi="BNPP Sans Light"/>
          <w:b/>
          <w:sz w:val="22"/>
          <w:szCs w:val="22"/>
          <w:lang w:val="en-US"/>
        </w:rPr>
        <w:t xml:space="preserve">. </w:t>
      </w:r>
      <w:r w:rsidR="00E87750" w:rsidRPr="00E87750">
        <w:rPr>
          <w:rFonts w:ascii="BNPP Sans Light" w:hAnsi="BNPP Sans Light"/>
          <w:b/>
          <w:sz w:val="22"/>
          <w:szCs w:val="22"/>
          <w:lang w:val="en-US"/>
        </w:rPr>
        <w:t xml:space="preserve">This new dataset enables investors to </w:t>
      </w:r>
      <w:proofErr w:type="spellStart"/>
      <w:r w:rsidR="00E87750" w:rsidRPr="00E87750">
        <w:rPr>
          <w:rFonts w:ascii="BNPP Sans Light" w:hAnsi="BNPP Sans Light"/>
          <w:b/>
          <w:sz w:val="22"/>
          <w:szCs w:val="22"/>
          <w:lang w:val="en-US"/>
        </w:rPr>
        <w:t>analyse</w:t>
      </w:r>
      <w:proofErr w:type="spellEnd"/>
      <w:r w:rsidR="00E87750" w:rsidRPr="00E87750">
        <w:rPr>
          <w:rFonts w:ascii="BNPP Sans Light" w:hAnsi="BNPP Sans Light"/>
          <w:b/>
          <w:sz w:val="22"/>
          <w:szCs w:val="22"/>
          <w:lang w:val="en-US"/>
        </w:rPr>
        <w:t xml:space="preserve"> the extent to which company</w:t>
      </w:r>
      <w:r w:rsidR="00E87750">
        <w:rPr>
          <w:rStyle w:val="Funotenzeichen"/>
          <w:rFonts w:ascii="BNPP Sans Light" w:hAnsi="BNPP Sans Light"/>
          <w:b/>
          <w:sz w:val="22"/>
          <w:szCs w:val="22"/>
          <w:lang w:val="en-US"/>
        </w:rPr>
        <w:footnoteReference w:id="1"/>
      </w:r>
      <w:r w:rsidR="00E87750" w:rsidRPr="006866D0">
        <w:rPr>
          <w:rFonts w:ascii="BNPP Sans Light" w:hAnsi="BNPP Sans Light"/>
          <w:b/>
          <w:sz w:val="22"/>
          <w:szCs w:val="22"/>
          <w:lang w:val="en-US"/>
        </w:rPr>
        <w:t xml:space="preserve"> </w:t>
      </w:r>
      <w:r w:rsidR="00E87750" w:rsidRPr="00E87750">
        <w:rPr>
          <w:rFonts w:ascii="BNPP Sans Light" w:hAnsi="BNPP Sans Light"/>
          <w:b/>
          <w:sz w:val="22"/>
          <w:szCs w:val="22"/>
          <w:lang w:val="en-US"/>
        </w:rPr>
        <w:t xml:space="preserve"> revenues are aligned – or misaligned – with the targets of the 17 United Nations Sustainable Development Goals (‘SDGs’).</w:t>
      </w:r>
      <w:r w:rsidR="00E87750">
        <w:rPr>
          <w:rFonts w:ascii="BNPP Sans Light" w:hAnsi="BNPP Sans Light"/>
          <w:b/>
          <w:sz w:val="22"/>
          <w:szCs w:val="22"/>
          <w:lang w:val="en-US"/>
        </w:rPr>
        <w:t xml:space="preserve"> </w:t>
      </w:r>
    </w:p>
    <w:p w14:paraId="41EB5B2D" w14:textId="77777777" w:rsidR="00CF6CBB" w:rsidRPr="00EA04E9" w:rsidRDefault="00CF6CBB" w:rsidP="00CF6CBB">
      <w:pPr>
        <w:rPr>
          <w:rFonts w:ascii="BNPP Sans Light" w:hAnsi="BNPP Sans Light"/>
          <w:sz w:val="22"/>
          <w:szCs w:val="22"/>
          <w:lang w:val="en-US"/>
        </w:rPr>
      </w:pPr>
    </w:p>
    <w:p w14:paraId="7D15974C" w14:textId="5A503573" w:rsidR="00CF6CBB" w:rsidRPr="00402208" w:rsidRDefault="00402208" w:rsidP="00CF6CBB">
      <w:pPr>
        <w:rPr>
          <w:rFonts w:ascii="BNPP Sans Light" w:hAnsi="BNPP Sans Light"/>
          <w:sz w:val="22"/>
          <w:szCs w:val="22"/>
          <w:lang w:val="en-US"/>
        </w:rPr>
      </w:pPr>
      <w:r>
        <w:rPr>
          <w:rFonts w:ascii="BNPP Sans Light" w:hAnsi="BNPP Sans Light"/>
          <w:sz w:val="22"/>
          <w:szCs w:val="22"/>
          <w:lang w:val="en-US"/>
        </w:rPr>
        <w:t xml:space="preserve">Adopted in 2015 </w:t>
      </w:r>
      <w:r w:rsidR="00FB445C">
        <w:rPr>
          <w:rFonts w:ascii="BNPP Sans Light" w:hAnsi="BNPP Sans Light"/>
          <w:sz w:val="22"/>
          <w:szCs w:val="22"/>
          <w:lang w:val="en-US"/>
        </w:rPr>
        <w:t xml:space="preserve">at </w:t>
      </w:r>
      <w:r>
        <w:rPr>
          <w:rFonts w:ascii="BNPP Sans Light" w:hAnsi="BNPP Sans Light"/>
          <w:sz w:val="22"/>
          <w:szCs w:val="22"/>
          <w:lang w:val="en-US"/>
        </w:rPr>
        <w:t>COP 2</w:t>
      </w:r>
      <w:r w:rsidR="00FB445C">
        <w:rPr>
          <w:rFonts w:ascii="BNPP Sans Light" w:hAnsi="BNPP Sans Light"/>
          <w:sz w:val="22"/>
          <w:szCs w:val="22"/>
          <w:lang w:val="en-US"/>
        </w:rPr>
        <w:t>1</w:t>
      </w:r>
      <w:r>
        <w:rPr>
          <w:rFonts w:ascii="BNPP Sans Light" w:hAnsi="BNPP Sans Light"/>
          <w:sz w:val="22"/>
          <w:szCs w:val="22"/>
          <w:lang w:val="en-US"/>
        </w:rPr>
        <w:t xml:space="preserve">, the UN SDGs were defined </w:t>
      </w:r>
      <w:r w:rsidRPr="00402208">
        <w:rPr>
          <w:rFonts w:ascii="BNPP Sans Light" w:hAnsi="BNPP Sans Light"/>
          <w:sz w:val="22"/>
          <w:szCs w:val="22"/>
          <w:lang w:val="en-US"/>
        </w:rPr>
        <w:t xml:space="preserve">as a universal </w:t>
      </w:r>
      <w:r w:rsidRPr="00423A47">
        <w:rPr>
          <w:rFonts w:ascii="BNPP Sans Light" w:hAnsi="BNPP Sans Light"/>
          <w:sz w:val="22"/>
          <w:szCs w:val="22"/>
          <w:lang w:val="en-US"/>
        </w:rPr>
        <w:t>roadmap for achieving a sustainable and inclusive future</w:t>
      </w:r>
      <w:r>
        <w:rPr>
          <w:rFonts w:ascii="BNPP Sans Light" w:hAnsi="BNPP Sans Light"/>
          <w:sz w:val="22"/>
          <w:szCs w:val="22"/>
          <w:lang w:val="en-US"/>
        </w:rPr>
        <w:t xml:space="preserve"> by 2030. Since then the asset management industry has made significant progress in developing solutions to help address some of the </w:t>
      </w:r>
      <w:r w:rsidR="00CF6CBB" w:rsidRPr="00EA04E9">
        <w:rPr>
          <w:rFonts w:ascii="BNPP Sans Light" w:hAnsi="BNPP Sans Light"/>
          <w:sz w:val="22"/>
          <w:szCs w:val="22"/>
          <w:lang w:val="en-US"/>
        </w:rPr>
        <w:t xml:space="preserve">global challenges articulated by the SDGs, using capital allocation and engagement as levers towards a sustainable future. </w:t>
      </w:r>
      <w:proofErr w:type="spellStart"/>
      <w:r w:rsidR="00CF6CBB" w:rsidRPr="00EA04E9">
        <w:rPr>
          <w:rFonts w:ascii="BNPP Sans Light" w:hAnsi="BNPP Sans Light"/>
          <w:sz w:val="22"/>
          <w:szCs w:val="22"/>
          <w:lang w:val="en-US"/>
        </w:rPr>
        <w:t>Prioritising</w:t>
      </w:r>
      <w:proofErr w:type="spellEnd"/>
      <w:r w:rsidR="00CF6CBB" w:rsidRPr="00EA04E9">
        <w:rPr>
          <w:rFonts w:ascii="BNPP Sans Light" w:hAnsi="BNPP Sans Light"/>
          <w:sz w:val="22"/>
          <w:szCs w:val="22"/>
          <w:lang w:val="en-US"/>
        </w:rPr>
        <w:t xml:space="preserve"> investment in the SDGs</w:t>
      </w:r>
      <w:r w:rsidR="00B937CD">
        <w:rPr>
          <w:rFonts w:ascii="BNPP Sans Light" w:hAnsi="BNPP Sans Light"/>
          <w:sz w:val="22"/>
          <w:szCs w:val="22"/>
          <w:lang w:val="en-US"/>
        </w:rPr>
        <w:t xml:space="preserve"> has the potential to unlock</w:t>
      </w:r>
      <w:r w:rsidR="00CF6CBB" w:rsidRPr="00EA04E9">
        <w:rPr>
          <w:rFonts w:ascii="BNPP Sans Light" w:hAnsi="BNPP Sans Light"/>
          <w:sz w:val="22"/>
          <w:szCs w:val="22"/>
          <w:lang w:val="en-US"/>
        </w:rPr>
        <w:t xml:space="preserve"> opportunities worth approximately USD 12 trillion and 380 million jobs a year by 2030</w:t>
      </w:r>
      <w:r w:rsidR="00E9029A">
        <w:rPr>
          <w:rStyle w:val="Funotenzeichen"/>
          <w:rFonts w:ascii="BNPP Sans Light" w:hAnsi="BNPP Sans Light"/>
          <w:sz w:val="22"/>
          <w:szCs w:val="22"/>
          <w:lang w:val="en-US"/>
        </w:rPr>
        <w:footnoteReference w:id="2"/>
      </w:r>
      <w:r w:rsidR="00CF6CBB" w:rsidRPr="00402208">
        <w:rPr>
          <w:rFonts w:ascii="BNPP Sans Light" w:hAnsi="BNPP Sans Light"/>
          <w:sz w:val="22"/>
          <w:szCs w:val="22"/>
          <w:lang w:val="en-US"/>
        </w:rPr>
        <w:t xml:space="preserve"> for investors. Despite this, a funding gap </w:t>
      </w:r>
      <w:r w:rsidR="00FB445C" w:rsidRPr="00402208">
        <w:rPr>
          <w:rFonts w:ascii="BNPP Sans Light" w:hAnsi="BNPP Sans Light"/>
          <w:sz w:val="22"/>
          <w:szCs w:val="22"/>
          <w:lang w:val="en-US"/>
        </w:rPr>
        <w:t xml:space="preserve">remains </w:t>
      </w:r>
      <w:r w:rsidR="00CF6CBB" w:rsidRPr="00402208">
        <w:rPr>
          <w:rFonts w:ascii="BNPP Sans Light" w:hAnsi="BNPP Sans Light"/>
          <w:sz w:val="22"/>
          <w:szCs w:val="22"/>
          <w:lang w:val="en-US"/>
        </w:rPr>
        <w:t xml:space="preserve">between current investments in companies aligned to the SDGs </w:t>
      </w:r>
      <w:r w:rsidR="00FB445C">
        <w:rPr>
          <w:rFonts w:ascii="BNPP Sans Light" w:hAnsi="BNPP Sans Light"/>
          <w:sz w:val="22"/>
          <w:szCs w:val="22"/>
          <w:lang w:val="en-US"/>
        </w:rPr>
        <w:t>and</w:t>
      </w:r>
      <w:r w:rsidR="00CF6CBB" w:rsidRPr="00402208">
        <w:rPr>
          <w:rFonts w:ascii="BNPP Sans Light" w:hAnsi="BNPP Sans Light"/>
          <w:sz w:val="22"/>
          <w:szCs w:val="22"/>
          <w:lang w:val="en-US"/>
        </w:rPr>
        <w:t xml:space="preserve"> what is necessary to meet the </w:t>
      </w:r>
      <w:r w:rsidR="00FB445C">
        <w:rPr>
          <w:rFonts w:ascii="BNPP Sans Light" w:hAnsi="BNPP Sans Light"/>
          <w:sz w:val="22"/>
          <w:szCs w:val="22"/>
          <w:lang w:val="en-US"/>
        </w:rPr>
        <w:t xml:space="preserve">2030 </w:t>
      </w:r>
      <w:r w:rsidR="00CF6CBB" w:rsidRPr="00402208">
        <w:rPr>
          <w:rFonts w:ascii="BNPP Sans Light" w:hAnsi="BNPP Sans Light"/>
          <w:sz w:val="22"/>
          <w:szCs w:val="22"/>
          <w:lang w:val="en-US"/>
        </w:rPr>
        <w:t>targets set by the</w:t>
      </w:r>
      <w:r w:rsidR="006A128B">
        <w:rPr>
          <w:rFonts w:ascii="BNPP Sans Light" w:hAnsi="BNPP Sans Light"/>
          <w:sz w:val="22"/>
          <w:szCs w:val="22"/>
          <w:lang w:val="en-US"/>
        </w:rPr>
        <w:t>m</w:t>
      </w:r>
      <w:r w:rsidR="00CF6CBB" w:rsidRPr="00402208">
        <w:rPr>
          <w:rFonts w:ascii="BNPP Sans Light" w:hAnsi="BNPP Sans Light"/>
          <w:sz w:val="22"/>
          <w:szCs w:val="22"/>
          <w:lang w:val="en-US"/>
        </w:rPr>
        <w:t>.</w:t>
      </w:r>
    </w:p>
    <w:p w14:paraId="405A4987" w14:textId="77777777" w:rsidR="00CF6CBB" w:rsidRPr="00402208" w:rsidRDefault="00CF6CBB" w:rsidP="00CF6CBB">
      <w:pPr>
        <w:rPr>
          <w:rFonts w:ascii="BNPP Sans Light" w:hAnsi="BNPP Sans Light"/>
          <w:sz w:val="22"/>
          <w:szCs w:val="22"/>
          <w:lang w:val="en-US"/>
        </w:rPr>
      </w:pPr>
    </w:p>
    <w:p w14:paraId="62C390E4" w14:textId="743AFB02" w:rsidR="00CF6CBB" w:rsidRPr="00402208" w:rsidRDefault="00CF6CBB" w:rsidP="00CF6CBB">
      <w:pPr>
        <w:rPr>
          <w:rFonts w:ascii="BNPP Sans Light" w:hAnsi="BNPP Sans Light"/>
          <w:sz w:val="22"/>
          <w:szCs w:val="22"/>
          <w:lang w:val="en-US"/>
        </w:rPr>
      </w:pPr>
      <w:r w:rsidRPr="00402208">
        <w:rPr>
          <w:rFonts w:ascii="BNPP Sans Light" w:hAnsi="BNPP Sans Light"/>
          <w:b/>
          <w:sz w:val="22"/>
          <w:szCs w:val="22"/>
          <w:lang w:val="en-US"/>
        </w:rPr>
        <w:t>SDG Fundamentals</w:t>
      </w:r>
      <w:r w:rsidR="00402208">
        <w:rPr>
          <w:rFonts w:ascii="BNPP Sans Light" w:hAnsi="BNPP Sans Light"/>
          <w:b/>
          <w:sz w:val="22"/>
          <w:szCs w:val="22"/>
          <w:lang w:val="en-US"/>
        </w:rPr>
        <w:t xml:space="preserve">, the new </w:t>
      </w:r>
      <w:proofErr w:type="gramStart"/>
      <w:r w:rsidR="00BA7C8F">
        <w:rPr>
          <w:rFonts w:ascii="BNPP Sans Light" w:hAnsi="BNPP Sans Light"/>
          <w:b/>
          <w:sz w:val="22"/>
          <w:szCs w:val="22"/>
          <w:lang w:val="en-US"/>
        </w:rPr>
        <w:t xml:space="preserve">dataset </w:t>
      </w:r>
      <w:r w:rsidR="00402208">
        <w:rPr>
          <w:rFonts w:ascii="BNPP Sans Light" w:hAnsi="BNPP Sans Light"/>
          <w:b/>
          <w:sz w:val="22"/>
          <w:szCs w:val="22"/>
          <w:lang w:val="en-US"/>
        </w:rPr>
        <w:t xml:space="preserve"> developed</w:t>
      </w:r>
      <w:proofErr w:type="gramEnd"/>
      <w:r w:rsidR="00402208">
        <w:rPr>
          <w:rFonts w:ascii="BNPP Sans Light" w:hAnsi="BNPP Sans Light"/>
          <w:b/>
          <w:sz w:val="22"/>
          <w:szCs w:val="22"/>
          <w:lang w:val="en-US"/>
        </w:rPr>
        <w:t xml:space="preserve"> by BNPP AM and Matter,</w:t>
      </w:r>
      <w:r w:rsidRPr="00402208">
        <w:rPr>
          <w:rFonts w:ascii="BNPP Sans Light" w:hAnsi="BNPP Sans Light"/>
          <w:sz w:val="22"/>
          <w:szCs w:val="22"/>
          <w:lang w:val="en-US"/>
        </w:rPr>
        <w:t xml:space="preserve"> helps bridge this gap</w:t>
      </w:r>
      <w:r w:rsidR="00FB445C">
        <w:rPr>
          <w:rFonts w:ascii="BNPP Sans Light" w:hAnsi="BNPP Sans Light"/>
          <w:sz w:val="22"/>
          <w:szCs w:val="22"/>
          <w:lang w:val="en-US"/>
        </w:rPr>
        <w:t xml:space="preserve">. </w:t>
      </w:r>
      <w:r w:rsidR="00E87750" w:rsidRPr="00E87750">
        <w:rPr>
          <w:rFonts w:ascii="BNPP Sans Light" w:hAnsi="BNPP Sans Light"/>
          <w:sz w:val="22"/>
          <w:szCs w:val="22"/>
          <w:lang w:val="en-US"/>
        </w:rPr>
        <w:t>It provides investors with a framework to understand the extent of the alignment of a company’s revenue streams with individual SDGs and targets, as well as across multiple SDGs and targets.</w:t>
      </w:r>
      <w:r w:rsidR="00E87750">
        <w:rPr>
          <w:rFonts w:ascii="BNPP Sans Light" w:hAnsi="BNPP Sans Light"/>
          <w:sz w:val="22"/>
          <w:szCs w:val="22"/>
          <w:lang w:val="en-US"/>
        </w:rPr>
        <w:t xml:space="preserve"> </w:t>
      </w:r>
      <w:r w:rsidRPr="00402208">
        <w:rPr>
          <w:rFonts w:ascii="BNPP Sans Light" w:hAnsi="BNPP Sans Light"/>
          <w:b/>
          <w:sz w:val="22"/>
          <w:szCs w:val="22"/>
          <w:lang w:val="en-US"/>
        </w:rPr>
        <w:t>SDG Fundamentals</w:t>
      </w:r>
      <w:r w:rsidRPr="00402208">
        <w:rPr>
          <w:rFonts w:ascii="BNPP Sans Light" w:hAnsi="BNPP Sans Light"/>
          <w:sz w:val="22"/>
          <w:szCs w:val="22"/>
          <w:lang w:val="en-US"/>
        </w:rPr>
        <w:t xml:space="preserve"> is based on a proprietary SDG taxonomy, itself grounded on a strict reading of </w:t>
      </w:r>
      <w:proofErr w:type="spellStart"/>
      <w:r w:rsidRPr="00402208">
        <w:rPr>
          <w:rFonts w:ascii="BNPP Sans Light" w:hAnsi="BNPP Sans Light"/>
          <w:sz w:val="22"/>
          <w:szCs w:val="22"/>
          <w:lang w:val="en-US"/>
        </w:rPr>
        <w:t>UNS</w:t>
      </w:r>
      <w:r w:rsidR="006A128B">
        <w:rPr>
          <w:rFonts w:ascii="BNPP Sans Light" w:hAnsi="BNPP Sans Light"/>
          <w:sz w:val="22"/>
          <w:szCs w:val="22"/>
          <w:lang w:val="en-US"/>
        </w:rPr>
        <w:t>tats</w:t>
      </w:r>
      <w:proofErr w:type="spellEnd"/>
      <w:r w:rsidR="006A128B">
        <w:rPr>
          <w:rStyle w:val="Funotenzeichen"/>
          <w:rFonts w:ascii="BNPP Sans Light" w:hAnsi="BNPP Sans Light"/>
          <w:sz w:val="22"/>
          <w:szCs w:val="22"/>
          <w:lang w:val="en-US"/>
        </w:rPr>
        <w:footnoteReference w:id="3"/>
      </w:r>
      <w:r w:rsidRPr="00402208">
        <w:rPr>
          <w:rFonts w:ascii="BNPP Sans Light" w:hAnsi="BNPP Sans Light"/>
          <w:sz w:val="22"/>
          <w:szCs w:val="22"/>
          <w:lang w:val="en-US"/>
        </w:rPr>
        <w:t xml:space="preserve"> SDG metadata</w:t>
      </w:r>
      <w:r w:rsidR="006A128B">
        <w:rPr>
          <w:rFonts w:ascii="BNPP Sans Light" w:hAnsi="BNPP Sans Light"/>
          <w:sz w:val="22"/>
          <w:szCs w:val="22"/>
          <w:lang w:val="en-US"/>
        </w:rPr>
        <w:t>,</w:t>
      </w:r>
      <w:r w:rsidRPr="00402208">
        <w:rPr>
          <w:rFonts w:ascii="BNPP Sans Light" w:hAnsi="BNPP Sans Light"/>
          <w:sz w:val="22"/>
          <w:szCs w:val="22"/>
          <w:lang w:val="en-US"/>
        </w:rPr>
        <w:t xml:space="preserve"> and </w:t>
      </w:r>
      <w:r w:rsidR="006A128B">
        <w:rPr>
          <w:rFonts w:ascii="BNPP Sans Light" w:hAnsi="BNPP Sans Light"/>
          <w:sz w:val="22"/>
          <w:szCs w:val="22"/>
          <w:lang w:val="en-US"/>
        </w:rPr>
        <w:t>uses</w:t>
      </w:r>
      <w:r w:rsidR="006A128B" w:rsidRPr="00402208">
        <w:rPr>
          <w:rFonts w:ascii="BNPP Sans Light" w:hAnsi="BNPP Sans Light"/>
          <w:sz w:val="22"/>
          <w:szCs w:val="22"/>
          <w:lang w:val="en-US"/>
        </w:rPr>
        <w:t xml:space="preserve"> </w:t>
      </w:r>
      <w:r w:rsidRPr="00402208">
        <w:rPr>
          <w:rFonts w:ascii="BNPP Sans Light" w:hAnsi="BNPP Sans Light"/>
          <w:sz w:val="22"/>
          <w:szCs w:val="22"/>
          <w:lang w:val="en-US"/>
        </w:rPr>
        <w:t>one of the more granular revenue breakdown databases</w:t>
      </w:r>
      <w:r w:rsidR="006A128B">
        <w:rPr>
          <w:rFonts w:ascii="BNPP Sans Light" w:hAnsi="BNPP Sans Light"/>
          <w:sz w:val="22"/>
          <w:szCs w:val="22"/>
          <w:lang w:val="en-US"/>
        </w:rPr>
        <w:t xml:space="preserve"> available.</w:t>
      </w:r>
    </w:p>
    <w:p w14:paraId="039A544C" w14:textId="77777777" w:rsidR="00CF6CBB" w:rsidRPr="00402208" w:rsidRDefault="00CF6CBB" w:rsidP="00CF6CBB">
      <w:pPr>
        <w:rPr>
          <w:rFonts w:ascii="BNPP Sans Light" w:hAnsi="BNPP Sans Light"/>
          <w:sz w:val="22"/>
          <w:szCs w:val="22"/>
          <w:lang w:val="en-US"/>
        </w:rPr>
      </w:pPr>
    </w:p>
    <w:p w14:paraId="609BAF62" w14:textId="5DFB8224" w:rsidR="006A128B" w:rsidRDefault="006A128B" w:rsidP="00CF6CBB">
      <w:pPr>
        <w:rPr>
          <w:rFonts w:ascii="BNPP Sans Light" w:hAnsi="BNPP Sans Light"/>
          <w:sz w:val="22"/>
          <w:szCs w:val="22"/>
          <w:lang w:val="en-US"/>
        </w:rPr>
      </w:pPr>
      <w:r w:rsidRPr="00EA04E9">
        <w:rPr>
          <w:rFonts w:ascii="BNPP Sans Light" w:hAnsi="BNPP Sans Light"/>
          <w:b/>
          <w:sz w:val="22"/>
          <w:szCs w:val="22"/>
          <w:lang w:val="en-US"/>
        </w:rPr>
        <w:t>SDG Fundamentals</w:t>
      </w:r>
      <w:r>
        <w:rPr>
          <w:rFonts w:ascii="BNPP Sans Light" w:hAnsi="BNPP Sans Light"/>
          <w:sz w:val="22"/>
          <w:szCs w:val="22"/>
          <w:lang w:val="en-US"/>
        </w:rPr>
        <w:t xml:space="preserve"> data </w:t>
      </w:r>
      <w:r w:rsidR="00CF6CBB" w:rsidRPr="00402208">
        <w:rPr>
          <w:rFonts w:ascii="BNPP Sans Light" w:hAnsi="BNPP Sans Light"/>
          <w:sz w:val="22"/>
          <w:szCs w:val="22"/>
          <w:lang w:val="en-US"/>
        </w:rPr>
        <w:t>cover</w:t>
      </w:r>
      <w:r>
        <w:rPr>
          <w:rFonts w:ascii="BNPP Sans Light" w:hAnsi="BNPP Sans Light"/>
          <w:sz w:val="22"/>
          <w:szCs w:val="22"/>
          <w:lang w:val="en-US"/>
        </w:rPr>
        <w:t xml:space="preserve">s more than </w:t>
      </w:r>
      <w:r w:rsidR="00CF6CBB" w:rsidRPr="00402208">
        <w:rPr>
          <w:rFonts w:ascii="BNPP Sans Light" w:hAnsi="BNPP Sans Light"/>
          <w:sz w:val="22"/>
          <w:szCs w:val="22"/>
          <w:lang w:val="en-US"/>
        </w:rPr>
        <w:t xml:space="preserve">50,000 issuers, providing unparalleled insights into </w:t>
      </w:r>
      <w:r>
        <w:rPr>
          <w:rFonts w:ascii="BNPP Sans Light" w:hAnsi="BNPP Sans Light"/>
          <w:sz w:val="22"/>
          <w:szCs w:val="22"/>
          <w:lang w:val="en-US"/>
        </w:rPr>
        <w:t xml:space="preserve">their </w:t>
      </w:r>
      <w:r w:rsidR="00CF6CBB" w:rsidRPr="00402208">
        <w:rPr>
          <w:rFonts w:ascii="BNPP Sans Light" w:hAnsi="BNPP Sans Light"/>
          <w:sz w:val="22"/>
          <w:szCs w:val="22"/>
          <w:lang w:val="en-US"/>
        </w:rPr>
        <w:t xml:space="preserve">alignment </w:t>
      </w:r>
      <w:r w:rsidR="005605C9">
        <w:rPr>
          <w:rFonts w:ascii="BNPP Sans Light" w:hAnsi="BNPP Sans Light"/>
          <w:sz w:val="22"/>
          <w:szCs w:val="22"/>
          <w:lang w:val="en-US"/>
        </w:rPr>
        <w:t xml:space="preserve">and misalignment </w:t>
      </w:r>
      <w:r w:rsidR="00CF6CBB" w:rsidRPr="00402208">
        <w:rPr>
          <w:rFonts w:ascii="BNPP Sans Light" w:hAnsi="BNPP Sans Light"/>
          <w:sz w:val="22"/>
          <w:szCs w:val="22"/>
          <w:lang w:val="en-US"/>
        </w:rPr>
        <w:t>with the SDGs through an analysis of the</w:t>
      </w:r>
      <w:r>
        <w:rPr>
          <w:rFonts w:ascii="BNPP Sans Light" w:hAnsi="BNPP Sans Light"/>
          <w:sz w:val="22"/>
          <w:szCs w:val="22"/>
          <w:lang w:val="en-US"/>
        </w:rPr>
        <w:t>ir</w:t>
      </w:r>
      <w:r w:rsidR="00CF6CBB" w:rsidRPr="00402208">
        <w:rPr>
          <w:rFonts w:ascii="BNPP Sans Light" w:hAnsi="BNPP Sans Light"/>
          <w:sz w:val="22"/>
          <w:szCs w:val="22"/>
          <w:lang w:val="en-US"/>
        </w:rPr>
        <w:t xml:space="preserve"> products and services. </w:t>
      </w:r>
      <w:r>
        <w:rPr>
          <w:rFonts w:ascii="BNPP Sans Light" w:hAnsi="BNPP Sans Light"/>
          <w:sz w:val="22"/>
          <w:szCs w:val="22"/>
          <w:lang w:val="en-US"/>
        </w:rPr>
        <w:t xml:space="preserve">It </w:t>
      </w:r>
      <w:r w:rsidR="00CF6CBB" w:rsidRPr="00402208">
        <w:rPr>
          <w:rFonts w:ascii="BNPP Sans Light" w:hAnsi="BNPP Sans Light"/>
          <w:sz w:val="22"/>
          <w:szCs w:val="22"/>
          <w:lang w:val="en-US"/>
        </w:rPr>
        <w:t xml:space="preserve">can assist investors in enriching their approach to sustainability analysis </w:t>
      </w:r>
      <w:r>
        <w:rPr>
          <w:rFonts w:ascii="BNPP Sans Light" w:hAnsi="BNPP Sans Light"/>
          <w:sz w:val="22"/>
          <w:szCs w:val="22"/>
          <w:lang w:val="en-US"/>
        </w:rPr>
        <w:t>in four ways:</w:t>
      </w:r>
    </w:p>
    <w:p w14:paraId="04D81DE6" w14:textId="4CE72F97" w:rsidR="006A128B" w:rsidRPr="00EA04E9" w:rsidRDefault="00CF6CBB" w:rsidP="00EA04E9">
      <w:pPr>
        <w:pStyle w:val="Listenabsatz"/>
        <w:numPr>
          <w:ilvl w:val="0"/>
          <w:numId w:val="27"/>
        </w:numPr>
        <w:rPr>
          <w:rFonts w:ascii="BNPP Sans Light" w:hAnsi="BNPP Sans Light"/>
          <w:sz w:val="22"/>
          <w:szCs w:val="22"/>
          <w:lang w:val="en-US"/>
        </w:rPr>
      </w:pPr>
      <w:r w:rsidRPr="00EA04E9">
        <w:rPr>
          <w:rFonts w:ascii="BNPP Sans Light" w:hAnsi="BNPP Sans Light"/>
          <w:sz w:val="22"/>
          <w:szCs w:val="22"/>
          <w:lang w:val="en-US"/>
        </w:rPr>
        <w:t>integration</w:t>
      </w:r>
      <w:r w:rsidR="006A128B">
        <w:rPr>
          <w:rFonts w:ascii="BNPP Sans Light" w:hAnsi="BNPP Sans Light"/>
          <w:sz w:val="22"/>
          <w:szCs w:val="22"/>
          <w:lang w:val="en-US"/>
        </w:rPr>
        <w:t>:</w:t>
      </w:r>
      <w:r w:rsidRPr="00EA04E9">
        <w:rPr>
          <w:rFonts w:ascii="BNPP Sans Light" w:hAnsi="BNPP Sans Light"/>
          <w:sz w:val="22"/>
          <w:szCs w:val="22"/>
          <w:lang w:val="en-US"/>
        </w:rPr>
        <w:t xml:space="preserve"> helping investors identify sustainable thematic </w:t>
      </w:r>
      <w:r w:rsidR="006A128B">
        <w:rPr>
          <w:rFonts w:ascii="BNPP Sans Light" w:hAnsi="BNPP Sans Light"/>
          <w:sz w:val="22"/>
          <w:szCs w:val="22"/>
          <w:lang w:val="en-US"/>
        </w:rPr>
        <w:t xml:space="preserve">head- and tail-winds </w:t>
      </w:r>
      <w:r w:rsidRPr="00EA04E9">
        <w:rPr>
          <w:rFonts w:ascii="BNPP Sans Light" w:hAnsi="BNPP Sans Light"/>
          <w:sz w:val="22"/>
          <w:szCs w:val="22"/>
          <w:lang w:val="en-US"/>
        </w:rPr>
        <w:t xml:space="preserve">to inform </w:t>
      </w:r>
      <w:r w:rsidR="00BA3509">
        <w:rPr>
          <w:rFonts w:ascii="BNPP Sans Light" w:hAnsi="BNPP Sans Light"/>
          <w:sz w:val="22"/>
          <w:szCs w:val="22"/>
          <w:lang w:val="en-US"/>
        </w:rPr>
        <w:t xml:space="preserve">their </w:t>
      </w:r>
      <w:r w:rsidRPr="00EA04E9">
        <w:rPr>
          <w:rFonts w:ascii="BNPP Sans Light" w:hAnsi="BNPP Sans Light"/>
          <w:sz w:val="22"/>
          <w:szCs w:val="22"/>
          <w:lang w:val="en-US"/>
        </w:rPr>
        <w:t>investment decision-making</w:t>
      </w:r>
      <w:r w:rsidR="006A128B">
        <w:rPr>
          <w:rFonts w:ascii="BNPP Sans Light" w:hAnsi="BNPP Sans Light"/>
          <w:sz w:val="22"/>
          <w:szCs w:val="22"/>
          <w:lang w:val="en-US"/>
        </w:rPr>
        <w:t>;</w:t>
      </w:r>
    </w:p>
    <w:p w14:paraId="002A56B3" w14:textId="366E8453" w:rsidR="006A128B" w:rsidRPr="00EA04E9" w:rsidRDefault="00CF6CBB" w:rsidP="00EA04E9">
      <w:pPr>
        <w:pStyle w:val="Listenabsatz"/>
        <w:numPr>
          <w:ilvl w:val="0"/>
          <w:numId w:val="27"/>
        </w:numPr>
        <w:rPr>
          <w:rFonts w:ascii="BNPP Sans Light" w:hAnsi="BNPP Sans Light"/>
          <w:sz w:val="22"/>
          <w:szCs w:val="22"/>
          <w:lang w:val="en-US"/>
        </w:rPr>
      </w:pPr>
      <w:r w:rsidRPr="00EA04E9">
        <w:rPr>
          <w:rFonts w:ascii="BNPP Sans Light" w:hAnsi="BNPP Sans Light"/>
          <w:sz w:val="22"/>
          <w:szCs w:val="22"/>
          <w:lang w:val="en-US"/>
        </w:rPr>
        <w:t>regulatory compliance under SFDR</w:t>
      </w:r>
      <w:r w:rsidR="006A128B">
        <w:rPr>
          <w:rStyle w:val="Funotenzeichen"/>
          <w:rFonts w:ascii="BNPP Sans Light" w:hAnsi="BNPP Sans Light"/>
          <w:sz w:val="22"/>
          <w:szCs w:val="22"/>
          <w:lang w:val="en-US"/>
        </w:rPr>
        <w:footnoteReference w:id="4"/>
      </w:r>
      <w:r w:rsidRPr="00EA04E9">
        <w:rPr>
          <w:rFonts w:ascii="BNPP Sans Light" w:hAnsi="BNPP Sans Light"/>
          <w:sz w:val="22"/>
          <w:szCs w:val="22"/>
          <w:lang w:val="en-US"/>
        </w:rPr>
        <w:t xml:space="preserve"> and MiFID II</w:t>
      </w:r>
      <w:r w:rsidR="006A128B">
        <w:rPr>
          <w:rStyle w:val="Funotenzeichen"/>
          <w:rFonts w:ascii="BNPP Sans Light" w:hAnsi="BNPP Sans Light"/>
          <w:sz w:val="22"/>
          <w:szCs w:val="22"/>
          <w:lang w:val="en-US"/>
        </w:rPr>
        <w:footnoteReference w:id="5"/>
      </w:r>
      <w:r w:rsidR="00BA3509">
        <w:rPr>
          <w:rFonts w:ascii="BNPP Sans Light" w:hAnsi="BNPP Sans Light"/>
          <w:sz w:val="22"/>
          <w:szCs w:val="22"/>
          <w:lang w:val="en-US"/>
        </w:rPr>
        <w:t xml:space="preserve"> to inform ‘sustainable investment’ determination</w:t>
      </w:r>
      <w:r w:rsidR="006A128B">
        <w:rPr>
          <w:rFonts w:ascii="BNPP Sans Light" w:hAnsi="BNPP Sans Light"/>
          <w:sz w:val="22"/>
          <w:szCs w:val="22"/>
          <w:lang w:val="en-US"/>
        </w:rPr>
        <w:t>;</w:t>
      </w:r>
    </w:p>
    <w:p w14:paraId="46454FC3" w14:textId="07FC0B9F" w:rsidR="006A128B" w:rsidRPr="00EA04E9" w:rsidRDefault="00CF6CBB" w:rsidP="00EA04E9">
      <w:pPr>
        <w:pStyle w:val="Listenabsatz"/>
        <w:numPr>
          <w:ilvl w:val="0"/>
          <w:numId w:val="27"/>
        </w:numPr>
        <w:rPr>
          <w:rFonts w:ascii="BNPP Sans Light" w:hAnsi="BNPP Sans Light"/>
          <w:sz w:val="22"/>
          <w:szCs w:val="22"/>
          <w:lang w:val="en-US"/>
        </w:rPr>
      </w:pPr>
      <w:r w:rsidRPr="00EA04E9">
        <w:rPr>
          <w:rFonts w:ascii="BNPP Sans Light" w:hAnsi="BNPP Sans Light"/>
          <w:sz w:val="22"/>
          <w:szCs w:val="22"/>
          <w:lang w:val="en-US"/>
        </w:rPr>
        <w:t xml:space="preserve">stewardship and </w:t>
      </w:r>
      <w:r w:rsidR="00BA3509">
        <w:rPr>
          <w:rFonts w:ascii="BNPP Sans Light" w:hAnsi="BNPP Sans Light"/>
          <w:sz w:val="22"/>
          <w:szCs w:val="22"/>
          <w:lang w:val="en-US"/>
        </w:rPr>
        <w:t>exclusion</w:t>
      </w:r>
      <w:r w:rsidR="000750A3">
        <w:rPr>
          <w:rFonts w:ascii="BNPP Sans Light" w:hAnsi="BNPP Sans Light"/>
          <w:sz w:val="22"/>
          <w:szCs w:val="22"/>
          <w:lang w:val="en-US"/>
        </w:rPr>
        <w:t xml:space="preserve"> </w:t>
      </w:r>
      <w:r w:rsidRPr="00EA04E9">
        <w:rPr>
          <w:rFonts w:ascii="BNPP Sans Light" w:hAnsi="BNPP Sans Light"/>
          <w:sz w:val="22"/>
          <w:szCs w:val="22"/>
          <w:lang w:val="en-US"/>
        </w:rPr>
        <w:t>purposes</w:t>
      </w:r>
      <w:r w:rsidR="006A128B">
        <w:rPr>
          <w:rFonts w:ascii="BNPP Sans Light" w:hAnsi="BNPP Sans Light"/>
          <w:sz w:val="22"/>
          <w:szCs w:val="22"/>
          <w:lang w:val="en-US"/>
        </w:rPr>
        <w:t>:</w:t>
      </w:r>
      <w:r w:rsidRPr="00EA04E9">
        <w:rPr>
          <w:rFonts w:ascii="BNPP Sans Light" w:hAnsi="BNPP Sans Light"/>
          <w:sz w:val="22"/>
          <w:szCs w:val="22"/>
          <w:lang w:val="en-US"/>
        </w:rPr>
        <w:t xml:space="preserve"> helping investors to identify revenues misaligned to sustainable themes</w:t>
      </w:r>
      <w:r w:rsidR="006A128B">
        <w:rPr>
          <w:rFonts w:ascii="BNPP Sans Light" w:hAnsi="BNPP Sans Light"/>
          <w:sz w:val="22"/>
          <w:szCs w:val="22"/>
          <w:lang w:val="en-US"/>
        </w:rPr>
        <w:t>; and</w:t>
      </w:r>
    </w:p>
    <w:p w14:paraId="52A09670" w14:textId="4785876B" w:rsidR="00CF6CBB" w:rsidRPr="00EA04E9" w:rsidRDefault="00CF6CBB" w:rsidP="00EA04E9">
      <w:pPr>
        <w:pStyle w:val="Listenabsatz"/>
        <w:numPr>
          <w:ilvl w:val="0"/>
          <w:numId w:val="27"/>
        </w:numPr>
        <w:rPr>
          <w:rFonts w:ascii="BNPP Sans Light" w:hAnsi="BNPP Sans Light"/>
          <w:sz w:val="22"/>
          <w:szCs w:val="22"/>
          <w:lang w:val="en-US"/>
        </w:rPr>
      </w:pPr>
      <w:r w:rsidRPr="00EA04E9">
        <w:rPr>
          <w:rFonts w:ascii="BNPP Sans Light" w:hAnsi="BNPP Sans Light"/>
          <w:sz w:val="22"/>
          <w:szCs w:val="22"/>
          <w:lang w:val="en-US"/>
        </w:rPr>
        <w:t>portfolio construction and reporting for thematic and impact funds.</w:t>
      </w:r>
    </w:p>
    <w:p w14:paraId="61709464" w14:textId="46D59096" w:rsidR="006A128B" w:rsidRDefault="006A128B" w:rsidP="00CF6CBB">
      <w:pPr>
        <w:rPr>
          <w:rFonts w:ascii="BNPP Sans Light" w:hAnsi="BNPP Sans Light"/>
          <w:sz w:val="22"/>
          <w:szCs w:val="22"/>
          <w:lang w:val="en-US"/>
        </w:rPr>
      </w:pPr>
    </w:p>
    <w:p w14:paraId="5AB402A0" w14:textId="77777777" w:rsidR="00474D87" w:rsidRDefault="00474D87" w:rsidP="00CF6CBB">
      <w:pPr>
        <w:rPr>
          <w:rFonts w:ascii="BNPP Sans Light" w:hAnsi="BNPP Sans Light"/>
          <w:sz w:val="22"/>
          <w:szCs w:val="22"/>
          <w:lang w:val="en-US"/>
        </w:rPr>
      </w:pPr>
    </w:p>
    <w:p w14:paraId="16A77CA8" w14:textId="7605655C" w:rsidR="00CF6CBB" w:rsidRPr="00402208" w:rsidRDefault="00CF6CBB" w:rsidP="00CF6CBB">
      <w:pPr>
        <w:rPr>
          <w:rFonts w:ascii="BNPP Sans Light" w:hAnsi="BNPP Sans Light"/>
          <w:sz w:val="22"/>
          <w:szCs w:val="22"/>
          <w:lang w:val="en-US"/>
        </w:rPr>
      </w:pPr>
      <w:r w:rsidRPr="00EA04E9">
        <w:rPr>
          <w:rFonts w:ascii="BNPP Sans Light" w:hAnsi="BNPP Sans Light"/>
          <w:sz w:val="22"/>
          <w:szCs w:val="22"/>
          <w:lang w:val="en-US"/>
        </w:rPr>
        <w:t>SDG Fundamentals will be available to the wider sustainable investment market via Matter</w:t>
      </w:r>
      <w:r w:rsidRPr="00402208">
        <w:rPr>
          <w:rFonts w:ascii="BNPP Sans Light" w:hAnsi="BNPP Sans Light"/>
          <w:sz w:val="22"/>
          <w:szCs w:val="22"/>
          <w:lang w:val="en-US"/>
        </w:rPr>
        <w:t>.</w:t>
      </w:r>
      <w:r w:rsidR="00474D87">
        <w:rPr>
          <w:rFonts w:ascii="BNPP Sans Light" w:hAnsi="BNPP Sans Light"/>
          <w:sz w:val="22"/>
          <w:szCs w:val="22"/>
          <w:lang w:val="en-US"/>
        </w:rPr>
        <w:t xml:space="preserve"> </w:t>
      </w:r>
    </w:p>
    <w:p w14:paraId="3265E637" w14:textId="77777777" w:rsidR="00CF6CBB" w:rsidRPr="00402208" w:rsidRDefault="00CF6CBB" w:rsidP="00CF6CBB">
      <w:pPr>
        <w:rPr>
          <w:rFonts w:ascii="BNPP Sans Light" w:hAnsi="BNPP Sans Light"/>
          <w:sz w:val="22"/>
          <w:szCs w:val="22"/>
          <w:lang w:val="en-US"/>
        </w:rPr>
      </w:pPr>
    </w:p>
    <w:p w14:paraId="4D734FE7" w14:textId="77777777" w:rsidR="00D26FFD" w:rsidRPr="00402208" w:rsidRDefault="00D26FFD" w:rsidP="00D26FFD">
      <w:pPr>
        <w:rPr>
          <w:rFonts w:ascii="BNPP Sans Light" w:hAnsi="BNPP Sans Light"/>
          <w:b/>
          <w:sz w:val="22"/>
          <w:szCs w:val="22"/>
          <w:lang w:val="en-US"/>
        </w:rPr>
      </w:pPr>
      <w:r w:rsidRPr="00402208">
        <w:rPr>
          <w:rFonts w:ascii="BNPP Sans Light" w:hAnsi="BNPP Sans Light"/>
          <w:b/>
          <w:sz w:val="22"/>
          <w:szCs w:val="22"/>
          <w:lang w:val="en-US"/>
        </w:rPr>
        <w:t xml:space="preserve">Berenice </w:t>
      </w:r>
      <w:proofErr w:type="spellStart"/>
      <w:r w:rsidRPr="00402208">
        <w:rPr>
          <w:rFonts w:ascii="BNPP Sans Light" w:hAnsi="BNPP Sans Light"/>
          <w:b/>
          <w:sz w:val="22"/>
          <w:szCs w:val="22"/>
          <w:lang w:val="en-US"/>
        </w:rPr>
        <w:t>Lasfargues</w:t>
      </w:r>
      <w:proofErr w:type="spellEnd"/>
      <w:r w:rsidRPr="00402208">
        <w:rPr>
          <w:rFonts w:ascii="BNPP Sans Light" w:hAnsi="BNPP Sans Light"/>
          <w:b/>
          <w:sz w:val="22"/>
          <w:szCs w:val="22"/>
          <w:lang w:val="en-US"/>
        </w:rPr>
        <w:t>, Sustainability Integration Lead at BNPP AM, comments:</w:t>
      </w:r>
    </w:p>
    <w:p w14:paraId="5BCD32FF" w14:textId="1EBAB9AB" w:rsidR="00D26FFD" w:rsidRPr="00BE100E" w:rsidRDefault="00D26FFD" w:rsidP="00D26FFD">
      <w:pPr>
        <w:rPr>
          <w:rFonts w:ascii="BNPP Sans Light" w:hAnsi="BNPP Sans Light"/>
          <w:sz w:val="22"/>
          <w:szCs w:val="22"/>
          <w:lang w:val="en-US"/>
        </w:rPr>
      </w:pPr>
      <w:r>
        <w:rPr>
          <w:rFonts w:ascii="BNPP Sans Light" w:hAnsi="BNPP Sans Light"/>
          <w:sz w:val="22"/>
          <w:szCs w:val="22"/>
          <w:lang w:val="en-US"/>
        </w:rPr>
        <w:t>“</w:t>
      </w:r>
      <w:r w:rsidRPr="00402208">
        <w:rPr>
          <w:rFonts w:ascii="BNPP Sans Light" w:hAnsi="BNPP Sans Light"/>
          <w:i/>
          <w:sz w:val="22"/>
          <w:szCs w:val="22"/>
          <w:lang w:val="en-US"/>
        </w:rPr>
        <w:t xml:space="preserve">Understanding the extent to which companies’ core business revenues are aligned to the Sustainable Development Goals, and by extension have the potential to contribute to real-world sustainable outcomes, is the next frontier of sustainability analysis. While this type of analysis continues to be hampered by a lack of granular and </w:t>
      </w:r>
      <w:proofErr w:type="spellStart"/>
      <w:r w:rsidRPr="00402208">
        <w:rPr>
          <w:rFonts w:ascii="BNPP Sans Light" w:hAnsi="BNPP Sans Light"/>
          <w:i/>
          <w:sz w:val="22"/>
          <w:szCs w:val="22"/>
          <w:lang w:val="en-US"/>
        </w:rPr>
        <w:t>standardi</w:t>
      </w:r>
      <w:r>
        <w:rPr>
          <w:rFonts w:ascii="BNPP Sans Light" w:hAnsi="BNPP Sans Light"/>
          <w:i/>
          <w:sz w:val="22"/>
          <w:szCs w:val="22"/>
          <w:lang w:val="en-US"/>
        </w:rPr>
        <w:t>s</w:t>
      </w:r>
      <w:r w:rsidRPr="00402208">
        <w:rPr>
          <w:rFonts w:ascii="BNPP Sans Light" w:hAnsi="BNPP Sans Light"/>
          <w:i/>
          <w:sz w:val="22"/>
          <w:szCs w:val="22"/>
          <w:lang w:val="en-US"/>
        </w:rPr>
        <w:t>ed</w:t>
      </w:r>
      <w:proofErr w:type="spellEnd"/>
      <w:r w:rsidRPr="00402208">
        <w:rPr>
          <w:rFonts w:ascii="BNPP Sans Light" w:hAnsi="BNPP Sans Light"/>
          <w:i/>
          <w:sz w:val="22"/>
          <w:szCs w:val="22"/>
          <w:lang w:val="en-US"/>
        </w:rPr>
        <w:t xml:space="preserve"> corporate sustainability disclosures</w:t>
      </w:r>
      <w:r>
        <w:rPr>
          <w:rFonts w:ascii="BNPP Sans Light" w:hAnsi="BNPP Sans Light"/>
          <w:i/>
          <w:sz w:val="22"/>
          <w:szCs w:val="22"/>
          <w:lang w:val="en-US"/>
        </w:rPr>
        <w:t xml:space="preserve"> and data</w:t>
      </w:r>
      <w:r w:rsidRPr="00402208">
        <w:rPr>
          <w:rFonts w:ascii="BNPP Sans Light" w:hAnsi="BNPP Sans Light"/>
          <w:i/>
          <w:sz w:val="22"/>
          <w:szCs w:val="22"/>
          <w:lang w:val="en-US"/>
        </w:rPr>
        <w:t>, our methodological work with Matter helps to break down this barrier</w:t>
      </w:r>
      <w:r>
        <w:rPr>
          <w:rFonts w:ascii="BNPP Sans Light" w:hAnsi="BNPP Sans Light"/>
          <w:i/>
          <w:sz w:val="22"/>
          <w:szCs w:val="22"/>
          <w:lang w:val="en-US"/>
        </w:rPr>
        <w:t xml:space="preserve"> and </w:t>
      </w:r>
      <w:r w:rsidRPr="00402208">
        <w:rPr>
          <w:rFonts w:ascii="BNPP Sans Light" w:hAnsi="BNPP Sans Light"/>
          <w:i/>
          <w:sz w:val="22"/>
          <w:szCs w:val="22"/>
          <w:lang w:val="en-US"/>
        </w:rPr>
        <w:t>provid</w:t>
      </w:r>
      <w:r>
        <w:rPr>
          <w:rFonts w:ascii="BNPP Sans Light" w:hAnsi="BNPP Sans Light"/>
          <w:i/>
          <w:sz w:val="22"/>
          <w:szCs w:val="22"/>
          <w:lang w:val="en-US"/>
        </w:rPr>
        <w:t>es</w:t>
      </w:r>
      <w:r w:rsidRPr="00402208">
        <w:rPr>
          <w:rFonts w:ascii="BNPP Sans Light" w:hAnsi="BNPP Sans Light"/>
          <w:i/>
          <w:sz w:val="22"/>
          <w:szCs w:val="22"/>
          <w:lang w:val="en-US"/>
        </w:rPr>
        <w:t xml:space="preserve"> investors with actionable information on what constitutes company alignment to the targets</w:t>
      </w:r>
      <w:r>
        <w:rPr>
          <w:rFonts w:ascii="BNPP Sans Light" w:hAnsi="BNPP Sans Light"/>
          <w:i/>
          <w:sz w:val="22"/>
          <w:szCs w:val="22"/>
          <w:lang w:val="en-US"/>
        </w:rPr>
        <w:t xml:space="preserve"> underpinning the 17 SDG Goal</w:t>
      </w:r>
      <w:r w:rsidRPr="00CA5C8E">
        <w:rPr>
          <w:rFonts w:ascii="BNPP Sans Light" w:hAnsi="BNPP Sans Light"/>
          <w:i/>
          <w:sz w:val="22"/>
          <w:szCs w:val="22"/>
          <w:lang w:val="en-US"/>
        </w:rPr>
        <w:t>s.</w:t>
      </w:r>
      <w:r w:rsidR="00474D87" w:rsidRPr="00474D87">
        <w:rPr>
          <w:rFonts w:ascii="BNPP Sans Light" w:hAnsi="BNPP Sans Light"/>
          <w:i/>
          <w:sz w:val="22"/>
          <w:szCs w:val="22"/>
          <w:lang w:val="en-US"/>
        </w:rPr>
        <w:t xml:space="preserve"> </w:t>
      </w:r>
      <w:r w:rsidR="00474D87">
        <w:rPr>
          <w:rFonts w:ascii="BNPP Sans Light" w:hAnsi="BNPP Sans Light"/>
          <w:i/>
          <w:sz w:val="22"/>
          <w:szCs w:val="22"/>
          <w:lang w:val="en-US"/>
        </w:rPr>
        <w:t>It</w:t>
      </w:r>
      <w:r w:rsidR="00474D87" w:rsidRPr="00474D87">
        <w:rPr>
          <w:rFonts w:ascii="BNPP Sans Light" w:hAnsi="BNPP Sans Light"/>
          <w:i/>
          <w:sz w:val="22"/>
          <w:szCs w:val="22"/>
          <w:lang w:val="en-US"/>
        </w:rPr>
        <w:t xml:space="preserve"> is </w:t>
      </w:r>
      <w:r w:rsidR="00474D87">
        <w:rPr>
          <w:rFonts w:ascii="BNPP Sans Light" w:hAnsi="BNPP Sans Light"/>
          <w:i/>
          <w:sz w:val="22"/>
          <w:szCs w:val="22"/>
          <w:lang w:val="en-US"/>
        </w:rPr>
        <w:t xml:space="preserve">also </w:t>
      </w:r>
      <w:r w:rsidR="00474D87" w:rsidRPr="00474D87">
        <w:rPr>
          <w:rFonts w:ascii="BNPP Sans Light" w:hAnsi="BNPP Sans Light"/>
          <w:i/>
          <w:sz w:val="22"/>
          <w:szCs w:val="22"/>
          <w:lang w:val="en-US"/>
        </w:rPr>
        <w:t>part of a</w:t>
      </w:r>
      <w:r w:rsidR="00474D87">
        <w:rPr>
          <w:rFonts w:ascii="BNPP Sans Light" w:hAnsi="BNPP Sans Light"/>
          <w:i/>
          <w:sz w:val="22"/>
          <w:szCs w:val="22"/>
          <w:lang w:val="en-US"/>
        </w:rPr>
        <w:t xml:space="preserve"> wider push </w:t>
      </w:r>
      <w:r w:rsidR="00474D87" w:rsidRPr="00474D87">
        <w:rPr>
          <w:rFonts w:ascii="BNPP Sans Light" w:hAnsi="BNPP Sans Light"/>
          <w:i/>
          <w:sz w:val="22"/>
          <w:szCs w:val="22"/>
          <w:lang w:val="en-US"/>
        </w:rPr>
        <w:t xml:space="preserve">towards increased data breadth, quality and standards through </w:t>
      </w:r>
      <w:r w:rsidR="00474D87">
        <w:rPr>
          <w:rFonts w:ascii="BNPP Sans Light" w:hAnsi="BNPP Sans Light"/>
          <w:i/>
          <w:sz w:val="22"/>
          <w:szCs w:val="22"/>
          <w:lang w:val="en-US"/>
        </w:rPr>
        <w:t xml:space="preserve">industry </w:t>
      </w:r>
      <w:r w:rsidR="00474D87" w:rsidRPr="00474D87">
        <w:rPr>
          <w:rFonts w:ascii="BNPP Sans Light" w:hAnsi="BNPP Sans Light"/>
          <w:i/>
          <w:sz w:val="22"/>
          <w:szCs w:val="22"/>
          <w:lang w:val="en-US"/>
        </w:rPr>
        <w:t xml:space="preserve">collaboration. </w:t>
      </w:r>
      <w:r w:rsidRPr="00CA5C8E">
        <w:rPr>
          <w:rFonts w:ascii="BNPP Sans Light" w:hAnsi="BNPP Sans Light"/>
          <w:i/>
          <w:sz w:val="22"/>
          <w:szCs w:val="22"/>
          <w:lang w:val="en-US"/>
        </w:rPr>
        <w:t>”</w:t>
      </w:r>
    </w:p>
    <w:p w14:paraId="757BD92A" w14:textId="77777777" w:rsidR="00D26FFD" w:rsidRPr="00402208" w:rsidRDefault="00D26FFD" w:rsidP="00D26FFD">
      <w:pPr>
        <w:rPr>
          <w:rFonts w:ascii="BNPP Sans Light" w:hAnsi="BNPP Sans Light"/>
          <w:i/>
          <w:sz w:val="22"/>
          <w:szCs w:val="22"/>
          <w:lang w:val="en-US"/>
        </w:rPr>
      </w:pPr>
    </w:p>
    <w:p w14:paraId="0A3D93C4" w14:textId="4852FC90" w:rsidR="00CF6CBB" w:rsidRPr="00402208" w:rsidRDefault="00CF6CBB" w:rsidP="00CF6CBB">
      <w:pPr>
        <w:rPr>
          <w:rFonts w:ascii="BNPP Sans Light" w:hAnsi="BNPP Sans Light"/>
          <w:b/>
          <w:sz w:val="22"/>
          <w:szCs w:val="22"/>
          <w:lang w:val="en-US"/>
        </w:rPr>
      </w:pPr>
      <w:r w:rsidRPr="00402208">
        <w:rPr>
          <w:rFonts w:ascii="BNPP Sans Light" w:hAnsi="BNPP Sans Light"/>
          <w:b/>
          <w:sz w:val="22"/>
          <w:szCs w:val="22"/>
          <w:lang w:val="en-US"/>
        </w:rPr>
        <w:t>Lise Pretorius, Head of Sustainability Analysis at Matter, comments:</w:t>
      </w:r>
    </w:p>
    <w:p w14:paraId="650C191B" w14:textId="45D7DB7E" w:rsidR="00CF6CBB" w:rsidRPr="00402208" w:rsidRDefault="00402208" w:rsidP="00CF6CBB">
      <w:pPr>
        <w:rPr>
          <w:rFonts w:ascii="BNPP Sans Light" w:hAnsi="BNPP Sans Light"/>
          <w:b/>
          <w:i/>
          <w:sz w:val="22"/>
          <w:szCs w:val="22"/>
          <w:lang w:val="en-US"/>
        </w:rPr>
      </w:pPr>
      <w:r w:rsidRPr="00402208">
        <w:rPr>
          <w:rFonts w:ascii="BNPP Sans Light" w:hAnsi="BNPP Sans Light"/>
          <w:i/>
          <w:sz w:val="22"/>
          <w:szCs w:val="22"/>
          <w:lang w:val="en-US"/>
        </w:rPr>
        <w:t>“</w:t>
      </w:r>
      <w:r w:rsidR="00CF6CBB" w:rsidRPr="00402208">
        <w:rPr>
          <w:rFonts w:ascii="BNPP Sans Light" w:hAnsi="BNPP Sans Light"/>
          <w:i/>
          <w:sz w:val="22"/>
          <w:szCs w:val="22"/>
          <w:lang w:val="en-US"/>
        </w:rPr>
        <w:t xml:space="preserve">At Matter we offer a suite of sustainability insights on publicly traded companies, </w:t>
      </w:r>
      <w:proofErr w:type="spellStart"/>
      <w:r w:rsidR="00CF6CBB" w:rsidRPr="00402208">
        <w:rPr>
          <w:rFonts w:ascii="BNPP Sans Light" w:hAnsi="BNPP Sans Light"/>
          <w:i/>
          <w:sz w:val="22"/>
          <w:szCs w:val="22"/>
          <w:lang w:val="en-US"/>
        </w:rPr>
        <w:t>utilising</w:t>
      </w:r>
      <w:proofErr w:type="spellEnd"/>
      <w:r w:rsidR="00CF6CBB" w:rsidRPr="00402208">
        <w:rPr>
          <w:rFonts w:ascii="BNPP Sans Light" w:hAnsi="BNPP Sans Light"/>
          <w:i/>
          <w:sz w:val="22"/>
          <w:szCs w:val="22"/>
          <w:lang w:val="en-US"/>
        </w:rPr>
        <w:t xml:space="preserve"> both in-house expertise and third</w:t>
      </w:r>
      <w:r w:rsidR="00630594">
        <w:rPr>
          <w:rFonts w:ascii="BNPP Sans Light" w:hAnsi="BNPP Sans Light"/>
          <w:i/>
          <w:sz w:val="22"/>
          <w:szCs w:val="22"/>
          <w:lang w:val="en-US"/>
        </w:rPr>
        <w:t>-</w:t>
      </w:r>
      <w:r w:rsidR="00CF6CBB" w:rsidRPr="00402208">
        <w:rPr>
          <w:rFonts w:ascii="BNPP Sans Light" w:hAnsi="BNPP Sans Light"/>
          <w:i/>
          <w:sz w:val="22"/>
          <w:szCs w:val="22"/>
          <w:lang w:val="en-US"/>
        </w:rPr>
        <w:t xml:space="preserve">party insights from civil society, academia, think tanks and more to gain a 360-degree view of company non-financial performance. The collaboration with BNPP AM is an extension of this commitment to advance the common understanding of companies’ non-financial performance through multi-stakeholder collaboration. </w:t>
      </w:r>
      <w:r w:rsidR="006A128B">
        <w:rPr>
          <w:rFonts w:ascii="BNPP Sans Light" w:hAnsi="BNPP Sans Light"/>
          <w:i/>
          <w:sz w:val="22"/>
          <w:szCs w:val="22"/>
          <w:lang w:val="en-US"/>
        </w:rPr>
        <w:t>Partnering</w:t>
      </w:r>
      <w:r w:rsidR="006A128B" w:rsidRPr="00402208">
        <w:rPr>
          <w:rFonts w:ascii="BNPP Sans Light" w:hAnsi="BNPP Sans Light"/>
          <w:i/>
          <w:sz w:val="22"/>
          <w:szCs w:val="22"/>
          <w:lang w:val="en-US"/>
        </w:rPr>
        <w:t xml:space="preserve"> </w:t>
      </w:r>
      <w:r w:rsidR="00CF6CBB" w:rsidRPr="00402208">
        <w:rPr>
          <w:rFonts w:ascii="BNPP Sans Light" w:hAnsi="BNPP Sans Light"/>
          <w:i/>
          <w:sz w:val="22"/>
          <w:szCs w:val="22"/>
          <w:lang w:val="en-US"/>
        </w:rPr>
        <w:t>with BNPP AM to develop SDG Fundamentals has been a unique opportunity to work with a leading asset manager which combines deep market expertise with a genuine commitment to rigorous understanding of the sustainability and SDG alignment of their investments.</w:t>
      </w:r>
      <w:r w:rsidRPr="00402208">
        <w:rPr>
          <w:rFonts w:ascii="BNPP Sans Light" w:hAnsi="BNPP Sans Light"/>
          <w:i/>
          <w:sz w:val="22"/>
          <w:szCs w:val="22"/>
          <w:lang w:val="en-US"/>
        </w:rPr>
        <w:t>”</w:t>
      </w:r>
    </w:p>
    <w:p w14:paraId="1C2C07D6" w14:textId="77777777" w:rsidR="00CF6CBB" w:rsidRPr="00402208" w:rsidRDefault="00CF6CBB" w:rsidP="00CF6CBB">
      <w:pPr>
        <w:rPr>
          <w:rFonts w:ascii="BNPP Sans Light" w:hAnsi="BNPP Sans Light"/>
          <w:b/>
          <w:sz w:val="22"/>
          <w:szCs w:val="22"/>
          <w:lang w:val="en-US"/>
        </w:rPr>
      </w:pPr>
    </w:p>
    <w:p w14:paraId="236A339F" w14:textId="3C4B0E8A" w:rsidR="00C65575" w:rsidRPr="00D26FFD" w:rsidRDefault="00C65575" w:rsidP="00EA04E9">
      <w:pPr>
        <w:rPr>
          <w:rFonts w:ascii="BNPP Sans Light" w:hAnsi="BNPP Sans Light"/>
          <w:color w:val="000000" w:themeColor="text1"/>
          <w:sz w:val="21"/>
          <w:szCs w:val="21"/>
          <w:lang w:val="en-US"/>
        </w:rPr>
      </w:pPr>
    </w:p>
    <w:p w14:paraId="705FABEB" w14:textId="18F77002" w:rsidR="00117828" w:rsidRPr="00DA10A2" w:rsidRDefault="00117828" w:rsidP="00117828">
      <w:pPr>
        <w:pStyle w:val="Default"/>
        <w:jc w:val="center"/>
        <w:rPr>
          <w:rStyle w:val="Hyperlink"/>
          <w:rFonts w:ascii="BNPP Sans Light" w:eastAsiaTheme="minorHAnsi" w:hAnsi="BNPP Sans Light" w:cs="Times New Roman"/>
          <w:color w:val="000000" w:themeColor="text1"/>
          <w:sz w:val="21"/>
          <w:szCs w:val="21"/>
          <w:lang w:val="en-GB" w:eastAsia="en-US"/>
        </w:rPr>
      </w:pPr>
      <w:r w:rsidRPr="00DA10A2">
        <w:rPr>
          <w:rStyle w:val="Hyperlink"/>
          <w:rFonts w:ascii="BNPP Sans Light" w:hAnsi="BNPP Sans Light"/>
          <w:color w:val="000000" w:themeColor="text1"/>
          <w:sz w:val="21"/>
          <w:szCs w:val="21"/>
          <w:lang w:val="en-GB"/>
        </w:rPr>
        <w:t>-</w:t>
      </w:r>
      <w:r w:rsidRPr="00DA10A2">
        <w:rPr>
          <w:rStyle w:val="Hyperlink"/>
          <w:rFonts w:ascii="BNPP Sans Light" w:eastAsiaTheme="minorHAnsi" w:hAnsi="BNPP Sans Light" w:cs="Times New Roman"/>
          <w:color w:val="000000" w:themeColor="text1"/>
          <w:sz w:val="21"/>
          <w:szCs w:val="21"/>
          <w:lang w:val="en-GB" w:eastAsia="en-US"/>
        </w:rPr>
        <w:t xml:space="preserve"> ENDS -</w:t>
      </w:r>
    </w:p>
    <w:p w14:paraId="0415A49C" w14:textId="77777777" w:rsidR="0091105C" w:rsidRPr="00DA10A2" w:rsidRDefault="0091105C" w:rsidP="004B1372">
      <w:pPr>
        <w:pStyle w:val="Default"/>
        <w:jc w:val="both"/>
        <w:rPr>
          <w:rStyle w:val="Hyperlink"/>
          <w:rFonts w:ascii="BNPP Sans Light" w:eastAsiaTheme="minorHAnsi" w:hAnsi="BNPP Sans Light" w:cs="Times New Roman"/>
          <w:color w:val="auto"/>
          <w:sz w:val="21"/>
          <w:szCs w:val="21"/>
          <w:lang w:val="en-GB" w:eastAsia="en-US"/>
        </w:rPr>
      </w:pPr>
    </w:p>
    <w:p w14:paraId="1A45F9AC" w14:textId="76F1ECB4" w:rsidR="001560DA" w:rsidRPr="00DA10A2" w:rsidRDefault="00117828" w:rsidP="001560DA">
      <w:pPr>
        <w:autoSpaceDE w:val="0"/>
        <w:autoSpaceDN w:val="0"/>
        <w:rPr>
          <w:rFonts w:ascii="BNPP Sans Light" w:eastAsia="Times New Roman" w:hAnsi="BNPP Sans Light" w:cs="Arial"/>
          <w:b/>
          <w:bCs/>
          <w:caps/>
          <w:color w:val="00A76C" w:themeColor="accent6"/>
          <w:sz w:val="21"/>
          <w:szCs w:val="21"/>
          <w:lang w:val="en-GB" w:eastAsia="fr-FR"/>
        </w:rPr>
      </w:pPr>
      <w:r w:rsidRPr="00DA10A2">
        <w:rPr>
          <w:rFonts w:ascii="BNPP Sans Light" w:eastAsia="Times New Roman" w:hAnsi="BNPP Sans Light" w:cs="Arial"/>
          <w:b/>
          <w:bCs/>
          <w:caps/>
          <w:color w:val="00A76C" w:themeColor="accent6"/>
          <w:sz w:val="21"/>
          <w:szCs w:val="21"/>
          <w:lang w:val="en-GB" w:eastAsia="fr-FR"/>
        </w:rPr>
        <w:t xml:space="preserve">PRESS </w:t>
      </w:r>
      <w:r w:rsidR="001560DA" w:rsidRPr="00DA10A2">
        <w:rPr>
          <w:rFonts w:ascii="BNPP Sans Light" w:eastAsia="Times New Roman" w:hAnsi="BNPP Sans Light" w:cs="Arial"/>
          <w:b/>
          <w:bCs/>
          <w:caps/>
          <w:color w:val="00A76C" w:themeColor="accent6"/>
          <w:sz w:val="21"/>
          <w:szCs w:val="21"/>
          <w:lang w:val="en-GB" w:eastAsia="fr-FR"/>
        </w:rPr>
        <w:t>contact</w:t>
      </w:r>
    </w:p>
    <w:p w14:paraId="3A0DC096" w14:textId="77777777" w:rsidR="00D72B8D" w:rsidRPr="00DA10A2" w:rsidRDefault="00D72B8D" w:rsidP="00D72B8D">
      <w:pPr>
        <w:autoSpaceDE w:val="0"/>
        <w:autoSpaceDN w:val="0"/>
        <w:adjustRightInd w:val="0"/>
        <w:spacing w:line="240" w:lineRule="auto"/>
        <w:ind w:right="146"/>
        <w:rPr>
          <w:rFonts w:ascii="BNPP Sans Light" w:eastAsia="Times New Roman" w:hAnsi="BNPP Sans Light" w:cs="Tms Rmn"/>
          <w:b/>
          <w:color w:val="000000"/>
          <w:sz w:val="21"/>
          <w:szCs w:val="21"/>
          <w:lang w:val="en-GB"/>
        </w:rPr>
      </w:pPr>
      <w:r w:rsidRPr="00DA10A2">
        <w:rPr>
          <w:rFonts w:ascii="BNPP Sans Light" w:hAnsi="BNPP Sans Light"/>
          <w:b/>
          <w:color w:val="000000"/>
          <w:sz w:val="21"/>
          <w:szCs w:val="21"/>
          <w:lang w:val="en-GB"/>
        </w:rPr>
        <w:t>BNP Paribas Asset Management</w:t>
      </w:r>
    </w:p>
    <w:p w14:paraId="552A2806" w14:textId="77777777" w:rsidR="005B4A79" w:rsidRPr="00DA10A2" w:rsidRDefault="005B4A79" w:rsidP="005B4A79">
      <w:pPr>
        <w:autoSpaceDE w:val="0"/>
        <w:autoSpaceDN w:val="0"/>
        <w:adjustRightInd w:val="0"/>
        <w:spacing w:line="240" w:lineRule="auto"/>
        <w:ind w:right="146"/>
        <w:rPr>
          <w:rFonts w:ascii="BNPP Sans Light" w:hAnsi="BNPP Sans Light"/>
          <w:sz w:val="21"/>
          <w:szCs w:val="21"/>
          <w:lang w:val="en-GB"/>
        </w:rPr>
      </w:pPr>
      <w:r w:rsidRPr="00DA10A2">
        <w:rPr>
          <w:rFonts w:ascii="BNPP Sans Light" w:hAnsi="BNPP Sans Light"/>
          <w:sz w:val="21"/>
          <w:szCs w:val="21"/>
          <w:lang w:val="en-GB"/>
        </w:rPr>
        <w:t>Quentin Smith</w:t>
      </w:r>
    </w:p>
    <w:p w14:paraId="4D4E48C4" w14:textId="0FAE04B9" w:rsidR="005B4A79" w:rsidRPr="00DA10A2" w:rsidRDefault="005B4A79" w:rsidP="005B4A79">
      <w:pPr>
        <w:autoSpaceDE w:val="0"/>
        <w:autoSpaceDN w:val="0"/>
        <w:adjustRightInd w:val="0"/>
        <w:spacing w:line="240" w:lineRule="auto"/>
        <w:ind w:right="146"/>
        <w:rPr>
          <w:rFonts w:ascii="BNPP Sans Light" w:hAnsi="BNPP Sans Light"/>
          <w:sz w:val="21"/>
          <w:szCs w:val="21"/>
          <w:lang w:val="en-GB"/>
        </w:rPr>
      </w:pPr>
      <w:r w:rsidRPr="00DA10A2">
        <w:rPr>
          <w:rFonts w:ascii="BNPP Sans Light" w:hAnsi="BNPP Sans Light"/>
          <w:sz w:val="21"/>
          <w:szCs w:val="21"/>
          <w:lang w:val="en-GB"/>
        </w:rPr>
        <w:t>+44 (0)20 7</w:t>
      </w:r>
      <w:r w:rsidR="00300C45" w:rsidRPr="00DA10A2">
        <w:rPr>
          <w:rFonts w:ascii="BNPP Sans Light" w:hAnsi="BNPP Sans Light"/>
          <w:sz w:val="21"/>
          <w:szCs w:val="21"/>
          <w:lang w:val="en-GB"/>
        </w:rPr>
        <w:t>827 356 890</w:t>
      </w:r>
    </w:p>
    <w:p w14:paraId="4F4A7832" w14:textId="1350FE16" w:rsidR="005B4A79" w:rsidRPr="00F8050B" w:rsidRDefault="0074012A" w:rsidP="005B4A79">
      <w:pPr>
        <w:autoSpaceDE w:val="0"/>
        <w:autoSpaceDN w:val="0"/>
        <w:adjustRightInd w:val="0"/>
        <w:spacing w:line="240" w:lineRule="auto"/>
        <w:ind w:right="146"/>
        <w:rPr>
          <w:rStyle w:val="Hyperlink"/>
          <w:rFonts w:ascii="BNPP Sans Light" w:hAnsi="BNPP Sans Light"/>
          <w:bCs/>
          <w:sz w:val="21"/>
          <w:szCs w:val="21"/>
          <w:lang w:val="en-GB"/>
        </w:rPr>
      </w:pPr>
      <w:hyperlink r:id="rId13" w:history="1">
        <w:r w:rsidR="00F8050B" w:rsidRPr="00BE100E">
          <w:rPr>
            <w:rStyle w:val="Hyperlink"/>
            <w:rFonts w:ascii="BNPP Sans Light" w:hAnsi="BNPP Sans Light"/>
            <w:sz w:val="21"/>
            <w:szCs w:val="21"/>
            <w:lang w:val="en-US"/>
          </w:rPr>
          <w:t>Quentin.smith@bnpparibas.com</w:t>
        </w:r>
      </w:hyperlink>
      <w:r w:rsidR="00F8050B" w:rsidRPr="00BE100E">
        <w:rPr>
          <w:rFonts w:ascii="BNPP Sans Light" w:hAnsi="BNPP Sans Light"/>
          <w:sz w:val="21"/>
          <w:szCs w:val="21"/>
          <w:lang w:val="en-US"/>
        </w:rPr>
        <w:t xml:space="preserve"> </w:t>
      </w:r>
    </w:p>
    <w:p w14:paraId="51D2A878" w14:textId="0B493D0E" w:rsidR="00117828" w:rsidRDefault="00117828" w:rsidP="00274045">
      <w:pPr>
        <w:autoSpaceDE w:val="0"/>
        <w:autoSpaceDN w:val="0"/>
        <w:adjustRightInd w:val="0"/>
        <w:spacing w:line="240" w:lineRule="auto"/>
        <w:ind w:right="146"/>
        <w:rPr>
          <w:rFonts w:ascii="BNPP Sans Light" w:hAnsi="BNPP Sans Light"/>
          <w:sz w:val="21"/>
          <w:szCs w:val="21"/>
          <w:lang w:val="en-GB"/>
        </w:rPr>
      </w:pPr>
    </w:p>
    <w:p w14:paraId="1F000F09" w14:textId="77777777" w:rsidR="00BB06D6" w:rsidRPr="004A1E62" w:rsidRDefault="00BB06D6" w:rsidP="00761C03">
      <w:pPr>
        <w:autoSpaceDE w:val="0"/>
        <w:autoSpaceDN w:val="0"/>
        <w:rPr>
          <w:rFonts w:ascii="BNPP Sans Light" w:eastAsia="Times New Roman" w:hAnsi="BNPP Sans Light" w:cs="Arial"/>
          <w:b/>
          <w:bCs/>
          <w:caps/>
          <w:sz w:val="21"/>
          <w:szCs w:val="21"/>
          <w:lang w:val="de-DE" w:eastAsia="fr-FR"/>
        </w:rPr>
      </w:pPr>
      <w:r w:rsidRPr="004A1E62">
        <w:rPr>
          <w:rFonts w:ascii="BNPP Sans Light" w:eastAsia="Times New Roman" w:hAnsi="BNPP Sans Light" w:cs="Arial"/>
          <w:b/>
          <w:bCs/>
          <w:caps/>
          <w:sz w:val="21"/>
          <w:szCs w:val="21"/>
          <w:lang w:val="de-DE" w:eastAsia="fr-FR"/>
        </w:rPr>
        <w:t>MATTER</w:t>
      </w:r>
    </w:p>
    <w:p w14:paraId="73CFB1AF" w14:textId="5FA6D9D8" w:rsidR="00BB06D6" w:rsidRPr="004A1E62" w:rsidRDefault="00BB06D6" w:rsidP="00D26FFD">
      <w:pPr>
        <w:autoSpaceDE w:val="0"/>
        <w:autoSpaceDN w:val="0"/>
        <w:adjustRightInd w:val="0"/>
        <w:spacing w:line="240" w:lineRule="auto"/>
        <w:ind w:right="146"/>
        <w:rPr>
          <w:rFonts w:ascii="BNPP Sans Light" w:hAnsi="BNPP Sans Light"/>
          <w:sz w:val="21"/>
          <w:szCs w:val="21"/>
          <w:lang w:val="de-DE"/>
        </w:rPr>
      </w:pPr>
      <w:r w:rsidRPr="004A1E62">
        <w:rPr>
          <w:rFonts w:ascii="BNPP Sans Light" w:hAnsi="BNPP Sans Light"/>
          <w:sz w:val="21"/>
          <w:szCs w:val="21"/>
          <w:lang w:val="de-DE"/>
        </w:rPr>
        <w:t xml:space="preserve">Niels </w:t>
      </w:r>
      <w:proofErr w:type="spellStart"/>
      <w:r w:rsidRPr="004A1E62">
        <w:rPr>
          <w:rFonts w:ascii="BNPP Sans Light" w:hAnsi="BNPP Sans Light"/>
          <w:sz w:val="21"/>
          <w:szCs w:val="21"/>
          <w:lang w:val="de-DE"/>
        </w:rPr>
        <w:t>Fibaek</w:t>
      </w:r>
      <w:proofErr w:type="spellEnd"/>
      <w:r w:rsidRPr="004A1E62">
        <w:rPr>
          <w:rFonts w:ascii="BNPP Sans Light" w:hAnsi="BNPP Sans Light"/>
          <w:sz w:val="21"/>
          <w:szCs w:val="21"/>
          <w:lang w:val="de-DE"/>
        </w:rPr>
        <w:t>-Jensen, CEO</w:t>
      </w:r>
    </w:p>
    <w:p w14:paraId="3279FD19" w14:textId="7A6F499D" w:rsidR="00BB06D6" w:rsidRPr="004A1E62" w:rsidRDefault="004145F5" w:rsidP="00D26FFD">
      <w:pPr>
        <w:shd w:val="clear" w:color="auto" w:fill="FFFFFF"/>
        <w:spacing w:line="240" w:lineRule="auto"/>
        <w:jc w:val="left"/>
        <w:rPr>
          <w:rFonts w:ascii="Segoe UI" w:eastAsia="Times New Roman" w:hAnsi="Segoe UI" w:cs="Segoe UI"/>
          <w:color w:val="242424"/>
          <w:sz w:val="21"/>
          <w:szCs w:val="21"/>
          <w:lang w:val="de-DE" w:eastAsia="fr-FR"/>
        </w:rPr>
      </w:pPr>
      <w:r w:rsidRPr="004A1E62">
        <w:rPr>
          <w:rFonts w:ascii="BNPP Sans Light" w:hAnsi="BNPP Sans Light"/>
          <w:sz w:val="21"/>
          <w:szCs w:val="21"/>
          <w:lang w:val="de-DE"/>
        </w:rPr>
        <w:t>+45 20701370</w:t>
      </w:r>
      <w:r w:rsidR="00AA60F5" w:rsidRPr="004A1E62">
        <w:rPr>
          <w:rFonts w:ascii="BNPP Sans Light" w:hAnsi="BNPP Sans Light"/>
          <w:sz w:val="21"/>
          <w:szCs w:val="21"/>
          <w:lang w:val="de-DE"/>
        </w:rPr>
        <w:br/>
      </w:r>
      <w:hyperlink r:id="rId14" w:history="1">
        <w:r w:rsidR="00761C03" w:rsidRPr="004A1E62">
          <w:rPr>
            <w:rStyle w:val="Hyperlink"/>
            <w:rFonts w:ascii="Segoe UI" w:hAnsi="Segoe UI" w:cs="Segoe UI"/>
            <w:sz w:val="21"/>
            <w:szCs w:val="21"/>
            <w:shd w:val="clear" w:color="auto" w:fill="FFFFFF"/>
            <w:lang w:val="de-DE"/>
          </w:rPr>
          <w:t>Niels@thisismatter.com</w:t>
        </w:r>
      </w:hyperlink>
      <w:r w:rsidR="00BB06D6" w:rsidRPr="004A1E62">
        <w:rPr>
          <w:rFonts w:ascii="Segoe UI" w:hAnsi="Segoe UI" w:cs="Segoe UI"/>
          <w:color w:val="242424"/>
          <w:sz w:val="21"/>
          <w:szCs w:val="21"/>
          <w:shd w:val="clear" w:color="auto" w:fill="FFFFFF"/>
          <w:lang w:val="de-DE"/>
        </w:rPr>
        <w:t xml:space="preserve"> </w:t>
      </w:r>
    </w:p>
    <w:p w14:paraId="19DE22AC" w14:textId="77777777" w:rsidR="00057EE7" w:rsidRPr="004A1E62" w:rsidRDefault="00057EE7" w:rsidP="00274045">
      <w:pPr>
        <w:autoSpaceDE w:val="0"/>
        <w:autoSpaceDN w:val="0"/>
        <w:adjustRightInd w:val="0"/>
        <w:spacing w:line="240" w:lineRule="auto"/>
        <w:ind w:right="146"/>
        <w:rPr>
          <w:rFonts w:ascii="BNPP Sans Light" w:hAnsi="BNPP Sans Light"/>
          <w:sz w:val="21"/>
          <w:szCs w:val="21"/>
          <w:lang w:val="de-DE"/>
        </w:rPr>
      </w:pPr>
    </w:p>
    <w:p w14:paraId="337927A5" w14:textId="551A9D65" w:rsidR="00117828" w:rsidRPr="00DA10A2" w:rsidRDefault="00117828" w:rsidP="00117828">
      <w:pPr>
        <w:ind w:right="146"/>
        <w:rPr>
          <w:rFonts w:ascii="BNPP Sans Light" w:eastAsia="Arial" w:hAnsi="BNPP Sans Light" w:cs="Arial"/>
          <w:b/>
          <w:bCs/>
          <w:color w:val="00A76C"/>
          <w:sz w:val="20"/>
          <w:lang w:val="en-GB"/>
        </w:rPr>
      </w:pPr>
      <w:r w:rsidRPr="00DA10A2">
        <w:rPr>
          <w:rFonts w:ascii="BNPP Sans Light" w:eastAsia="Arial" w:hAnsi="BNPP Sans Light" w:cs="Arial"/>
          <w:b/>
          <w:bCs/>
          <w:color w:val="00A76C"/>
          <w:sz w:val="20"/>
          <w:lang w:val="en-GB"/>
        </w:rPr>
        <w:t>About BNP Paribas Asset Management</w:t>
      </w:r>
    </w:p>
    <w:p w14:paraId="17ACC563" w14:textId="08F1A311" w:rsidR="001B2435" w:rsidRPr="00DA10A2" w:rsidRDefault="001B2435" w:rsidP="00494CC9">
      <w:pPr>
        <w:spacing w:line="240" w:lineRule="auto"/>
        <w:rPr>
          <w:rFonts w:ascii="BNPP Sans Light" w:hAnsi="BNPP Sans Light"/>
          <w:sz w:val="20"/>
          <w:lang w:val="en-US"/>
        </w:rPr>
      </w:pPr>
      <w:r w:rsidRPr="00DA10A2">
        <w:rPr>
          <w:rFonts w:ascii="BNPP Sans Light" w:hAnsi="BNPP Sans Light"/>
          <w:sz w:val="20"/>
          <w:lang w:val="en-US"/>
        </w:rPr>
        <w:t xml:space="preserve">BNP Paribas Asset Management (‘BNPP AM’) is the investment arm of BNP Paribas, a leading banking group in Europe with international reach. </w:t>
      </w:r>
      <w:r w:rsidR="009F3E21" w:rsidRPr="00DA10A2">
        <w:rPr>
          <w:rFonts w:ascii="BNPP Sans Light" w:hAnsi="BNPP Sans Light"/>
          <w:sz w:val="20"/>
          <w:lang w:val="en-US"/>
        </w:rPr>
        <w:t xml:space="preserve"> </w:t>
      </w:r>
      <w:r w:rsidRPr="00DA10A2">
        <w:rPr>
          <w:rFonts w:ascii="BNPP Sans Light" w:hAnsi="BNPP Sans Light"/>
          <w:sz w:val="20"/>
          <w:lang w:val="en-US"/>
        </w:rPr>
        <w:t xml:space="preserve">BNPP AM aims to generate long-term sustainable investment returns for its clients, based on a unique sustainability-driven philosophy. </w:t>
      </w:r>
      <w:r w:rsidR="009F3E21" w:rsidRPr="00DA10A2">
        <w:rPr>
          <w:rFonts w:ascii="BNPP Sans Light" w:hAnsi="BNPP Sans Light"/>
          <w:sz w:val="20"/>
          <w:lang w:val="en-US"/>
        </w:rPr>
        <w:t xml:space="preserve"> </w:t>
      </w:r>
      <w:r w:rsidRPr="00DA10A2">
        <w:rPr>
          <w:rFonts w:ascii="BNPP Sans Light" w:hAnsi="BNPP Sans Light"/>
          <w:sz w:val="20"/>
          <w:lang w:val="en-US"/>
        </w:rPr>
        <w:t>BNPP AM’s investment capabilities are focused around five key strategies: High Conviction Strategies, Private Debt &amp; Real Assets, Multi-Asset, Quantitative &amp; Solutions (MAQS), Emerging Markets and Liquidity Solutions, with investment processes incorporating quantitative and fundamental analysis.</w:t>
      </w:r>
    </w:p>
    <w:p w14:paraId="5A1D2F92" w14:textId="77777777" w:rsidR="001B2435" w:rsidRPr="00DA10A2" w:rsidRDefault="001B2435" w:rsidP="00494CC9">
      <w:pPr>
        <w:spacing w:line="240" w:lineRule="auto"/>
        <w:rPr>
          <w:rFonts w:ascii="BNPP Sans Light" w:hAnsi="BNPP Sans Light"/>
          <w:sz w:val="20"/>
          <w:lang w:val="en-US"/>
        </w:rPr>
      </w:pPr>
    </w:p>
    <w:p w14:paraId="2CB6CE41" w14:textId="6937567A" w:rsidR="001B2435" w:rsidRPr="00DA10A2" w:rsidRDefault="001B2435" w:rsidP="00494CC9">
      <w:pPr>
        <w:spacing w:line="240" w:lineRule="auto"/>
        <w:rPr>
          <w:rFonts w:ascii="BNPP Sans Light" w:hAnsi="BNPP Sans Light"/>
          <w:sz w:val="20"/>
          <w:lang w:val="en-US"/>
        </w:rPr>
      </w:pPr>
      <w:r w:rsidRPr="00DA10A2">
        <w:rPr>
          <w:rFonts w:ascii="BNPP Sans Light" w:hAnsi="BNPP Sans Light"/>
          <w:sz w:val="20"/>
          <w:lang w:val="en-US"/>
        </w:rPr>
        <w:t xml:space="preserve">Sustainability is embedded within BNPP AM’s strategy and investment decision-making. </w:t>
      </w:r>
      <w:r w:rsidR="009F3E21" w:rsidRPr="00DA10A2">
        <w:rPr>
          <w:rFonts w:ascii="BNPP Sans Light" w:hAnsi="BNPP Sans Light"/>
          <w:sz w:val="20"/>
          <w:lang w:val="en-US"/>
        </w:rPr>
        <w:t xml:space="preserve"> </w:t>
      </w:r>
      <w:r w:rsidRPr="00DA10A2">
        <w:rPr>
          <w:rFonts w:ascii="BNPP Sans Light" w:hAnsi="BNPP Sans Light"/>
          <w:sz w:val="20"/>
          <w:lang w:val="en-US"/>
        </w:rPr>
        <w:t xml:space="preserve">Among the leaders in thematic investment in Europe, BNPP AM contributes to the </w:t>
      </w:r>
      <w:r w:rsidRPr="009732BD">
        <w:rPr>
          <w:rFonts w:ascii="BNPP Sans Light" w:hAnsi="BNPP Sans Light"/>
          <w:sz w:val="20"/>
          <w:lang w:val="en-US"/>
        </w:rPr>
        <w:t>energy transition, environmental sustainability and the promotion of equality and inclusive growth.</w:t>
      </w:r>
      <w:r w:rsidR="009F3E21" w:rsidRPr="009732BD">
        <w:rPr>
          <w:rFonts w:ascii="BNPP Sans Light" w:hAnsi="BNPP Sans Light"/>
          <w:sz w:val="20"/>
          <w:lang w:val="en-US"/>
        </w:rPr>
        <w:t xml:space="preserve"> </w:t>
      </w:r>
      <w:r w:rsidRPr="009732BD">
        <w:rPr>
          <w:rFonts w:ascii="BNPP Sans Light" w:hAnsi="BNPP Sans Light"/>
          <w:sz w:val="20"/>
          <w:lang w:val="en-US"/>
        </w:rPr>
        <w:t xml:space="preserve"> BNPP AM currently manages EUR </w:t>
      </w:r>
      <w:r w:rsidR="006A128B">
        <w:rPr>
          <w:rFonts w:ascii="BNPP Sans Light" w:hAnsi="BNPP Sans Light"/>
          <w:sz w:val="20"/>
          <w:lang w:val="en-US"/>
        </w:rPr>
        <w:t>522</w:t>
      </w:r>
      <w:r w:rsidR="006A128B" w:rsidRPr="009732BD">
        <w:rPr>
          <w:rFonts w:ascii="BNPP Sans Light" w:hAnsi="BNPP Sans Light"/>
          <w:sz w:val="20"/>
          <w:lang w:val="en-US"/>
        </w:rPr>
        <w:t xml:space="preserve"> </w:t>
      </w:r>
      <w:r w:rsidRPr="009732BD">
        <w:rPr>
          <w:rFonts w:ascii="BNPP Sans Light" w:hAnsi="BNPP Sans Light"/>
          <w:sz w:val="20"/>
          <w:lang w:val="en-US"/>
        </w:rPr>
        <w:t xml:space="preserve">billion of assets (EUR </w:t>
      </w:r>
      <w:r w:rsidR="006A128B">
        <w:rPr>
          <w:rFonts w:ascii="BNPP Sans Light" w:hAnsi="BNPP Sans Light"/>
          <w:sz w:val="20"/>
          <w:lang w:val="en-US"/>
        </w:rPr>
        <w:t>645</w:t>
      </w:r>
      <w:r w:rsidR="006A128B" w:rsidRPr="009732BD">
        <w:rPr>
          <w:rFonts w:ascii="BNPP Sans Light" w:hAnsi="BNPP Sans Light"/>
          <w:sz w:val="20"/>
          <w:lang w:val="en-US"/>
        </w:rPr>
        <w:t xml:space="preserve"> </w:t>
      </w:r>
      <w:r w:rsidRPr="009732BD">
        <w:rPr>
          <w:rFonts w:ascii="BNPP Sans Light" w:hAnsi="BNPP Sans Light"/>
          <w:sz w:val="20"/>
          <w:lang w:val="en-US"/>
        </w:rPr>
        <w:t>billion</w:t>
      </w:r>
      <w:r w:rsidRPr="00DA10A2">
        <w:rPr>
          <w:rFonts w:ascii="BNPP Sans Light" w:hAnsi="BNPP Sans Light"/>
          <w:sz w:val="20"/>
          <w:lang w:val="en-US"/>
        </w:rPr>
        <w:t xml:space="preserve"> of assets under management &amp; advisory) and benefits from the expertise of around 500 investment professionals and over </w:t>
      </w:r>
      <w:r w:rsidR="006A128B">
        <w:rPr>
          <w:rFonts w:ascii="BNPP Sans Light" w:hAnsi="BNPP Sans Light"/>
          <w:sz w:val="20"/>
          <w:lang w:val="en-US"/>
        </w:rPr>
        <w:t>800</w:t>
      </w:r>
      <w:r w:rsidR="006A128B" w:rsidRPr="00DA10A2">
        <w:rPr>
          <w:rFonts w:ascii="BNPP Sans Light" w:hAnsi="BNPP Sans Light"/>
          <w:sz w:val="20"/>
          <w:lang w:val="en-US"/>
        </w:rPr>
        <w:t xml:space="preserve"> </w:t>
      </w:r>
      <w:r w:rsidRPr="00DA10A2">
        <w:rPr>
          <w:rFonts w:ascii="BNPP Sans Light" w:hAnsi="BNPP Sans Light"/>
          <w:sz w:val="20"/>
          <w:lang w:val="en-US"/>
        </w:rPr>
        <w:t xml:space="preserve">client servicing specialists, serving individual, corporate and institutional clients in </w:t>
      </w:r>
      <w:r w:rsidR="006A128B">
        <w:rPr>
          <w:rFonts w:ascii="BNPP Sans Light" w:hAnsi="BNPP Sans Light"/>
          <w:sz w:val="20"/>
          <w:lang w:val="en-US"/>
        </w:rPr>
        <w:t>67</w:t>
      </w:r>
      <w:r w:rsidR="006A128B" w:rsidRPr="00DA10A2">
        <w:rPr>
          <w:rFonts w:ascii="BNPP Sans Light" w:hAnsi="BNPP Sans Light"/>
          <w:sz w:val="20"/>
          <w:lang w:val="en-US"/>
        </w:rPr>
        <w:t xml:space="preserve"> </w:t>
      </w:r>
      <w:r w:rsidRPr="00DA10A2">
        <w:rPr>
          <w:rFonts w:ascii="BNPP Sans Light" w:hAnsi="BNPP Sans Light"/>
          <w:sz w:val="20"/>
          <w:lang w:val="en-US"/>
        </w:rPr>
        <w:t>countries.</w:t>
      </w:r>
    </w:p>
    <w:p w14:paraId="7C1361C3" w14:textId="77777777" w:rsidR="001B2435" w:rsidRPr="00DA10A2" w:rsidRDefault="001B2435" w:rsidP="00494CC9">
      <w:pPr>
        <w:spacing w:line="240" w:lineRule="auto"/>
        <w:rPr>
          <w:rFonts w:ascii="BNPP Sans Light" w:hAnsi="BNPP Sans Light"/>
          <w:sz w:val="20"/>
          <w:lang w:val="en-US"/>
        </w:rPr>
      </w:pPr>
    </w:p>
    <w:p w14:paraId="0E9A60FE" w14:textId="1492A145" w:rsidR="001B2435" w:rsidRPr="00DA10A2" w:rsidRDefault="001B2435" w:rsidP="00494CC9">
      <w:pPr>
        <w:spacing w:line="240" w:lineRule="auto"/>
        <w:rPr>
          <w:rFonts w:ascii="BNPP Sans Light" w:hAnsi="BNPP Sans Light"/>
          <w:sz w:val="20"/>
          <w:lang w:val="en-US"/>
        </w:rPr>
      </w:pPr>
      <w:r w:rsidRPr="00DA10A2">
        <w:rPr>
          <w:rFonts w:ascii="BNPP Sans Light" w:hAnsi="BNPP Sans Light"/>
          <w:sz w:val="20"/>
          <w:lang w:val="en-US"/>
        </w:rPr>
        <w:t>Source: BNPP AM, as at 3</w:t>
      </w:r>
      <w:r w:rsidR="00033D1F">
        <w:rPr>
          <w:rFonts w:ascii="BNPP Sans Light" w:hAnsi="BNPP Sans Light"/>
          <w:sz w:val="20"/>
          <w:lang w:val="en-US"/>
        </w:rPr>
        <w:t xml:space="preserve">1 </w:t>
      </w:r>
      <w:r w:rsidR="006A128B">
        <w:rPr>
          <w:rFonts w:ascii="BNPP Sans Light" w:hAnsi="BNPP Sans Light"/>
          <w:sz w:val="20"/>
          <w:lang w:val="en-US"/>
        </w:rPr>
        <w:t>March</w:t>
      </w:r>
      <w:r w:rsidR="006A128B" w:rsidRPr="00DA10A2">
        <w:rPr>
          <w:rFonts w:ascii="BNPP Sans Light" w:hAnsi="BNPP Sans Light"/>
          <w:sz w:val="20"/>
          <w:lang w:val="en-US"/>
        </w:rPr>
        <w:t xml:space="preserve"> </w:t>
      </w:r>
      <w:r w:rsidR="006A128B">
        <w:rPr>
          <w:rFonts w:ascii="BNPP Sans Light" w:hAnsi="BNPP Sans Light"/>
          <w:sz w:val="20"/>
          <w:lang w:val="en-US"/>
        </w:rPr>
        <w:t>2022</w:t>
      </w:r>
    </w:p>
    <w:p w14:paraId="53879A28" w14:textId="77777777" w:rsidR="001B2435" w:rsidRPr="00DA10A2" w:rsidRDefault="001B2435" w:rsidP="00494CC9">
      <w:pPr>
        <w:spacing w:line="240" w:lineRule="auto"/>
        <w:rPr>
          <w:rFonts w:ascii="BNPP Sans Light" w:hAnsi="BNPP Sans Light"/>
          <w:sz w:val="20"/>
          <w:lang w:val="en-GB"/>
        </w:rPr>
      </w:pPr>
    </w:p>
    <w:p w14:paraId="1431DEFB" w14:textId="77777777" w:rsidR="001B2435" w:rsidRPr="00DA10A2" w:rsidRDefault="001B2435" w:rsidP="00494CC9">
      <w:pPr>
        <w:spacing w:line="240" w:lineRule="auto"/>
        <w:rPr>
          <w:rFonts w:ascii="BNPP Sans Light" w:hAnsi="BNPP Sans Light"/>
          <w:sz w:val="20"/>
          <w:lang w:val="en-GB"/>
        </w:rPr>
      </w:pPr>
      <w:r w:rsidRPr="00DA10A2">
        <w:rPr>
          <w:rFonts w:ascii="BNPP Sans Light" w:hAnsi="BNPP Sans Light"/>
          <w:sz w:val="20"/>
          <w:lang w:val="en-GB"/>
        </w:rPr>
        <w:t xml:space="preserve">For more information please visit </w:t>
      </w:r>
      <w:hyperlink r:id="rId15" w:history="1">
        <w:r w:rsidRPr="00DA10A2">
          <w:rPr>
            <w:rStyle w:val="Hyperlink"/>
            <w:rFonts w:ascii="BNPP Sans Light" w:hAnsi="BNPP Sans Light"/>
            <w:sz w:val="20"/>
            <w:lang w:val="en-GB"/>
          </w:rPr>
          <w:t>bnpparibas-am.com</w:t>
        </w:r>
      </w:hyperlink>
      <w:r w:rsidRPr="00DA10A2">
        <w:rPr>
          <w:rFonts w:ascii="BNPP Sans Light" w:hAnsi="BNPP Sans Light"/>
          <w:sz w:val="20"/>
          <w:lang w:val="en-GB"/>
        </w:rPr>
        <w:t xml:space="preserve">, our </w:t>
      </w:r>
      <w:hyperlink r:id="rId16" w:history="1">
        <w:r w:rsidRPr="00DA10A2">
          <w:rPr>
            <w:rStyle w:val="Hyperlink"/>
            <w:rFonts w:ascii="BNPP Sans Light" w:hAnsi="BNPP Sans Light"/>
            <w:sz w:val="20"/>
            <w:lang w:val="en-GB"/>
          </w:rPr>
          <w:t>newsroom</w:t>
        </w:r>
      </w:hyperlink>
      <w:r w:rsidRPr="00DA10A2">
        <w:rPr>
          <w:rFonts w:ascii="BNPP Sans Light" w:hAnsi="BNPP Sans Light"/>
          <w:sz w:val="20"/>
          <w:lang w:val="en-GB"/>
        </w:rPr>
        <w:t xml:space="preserve"> or follow us on</w:t>
      </w:r>
    </w:p>
    <w:p w14:paraId="18428B82" w14:textId="74FD3744" w:rsidR="00117828" w:rsidRPr="00DA10A2" w:rsidRDefault="00117828" w:rsidP="00117828">
      <w:pPr>
        <w:rPr>
          <w:rFonts w:ascii="BNPP Sans Light" w:eastAsia="MS Mincho" w:hAnsi="BNPP Sans Light" w:cs="Arial"/>
          <w:sz w:val="20"/>
          <w:lang w:val="en-GB"/>
        </w:rPr>
      </w:pPr>
      <w:r w:rsidRPr="00DA10A2">
        <w:rPr>
          <w:rFonts w:ascii="BNPP Sans Light" w:hAnsi="BNPP Sans Light"/>
          <w:noProof/>
          <w:sz w:val="20"/>
          <w:lang w:eastAsia="fr-FR"/>
        </w:rPr>
        <w:lastRenderedPageBreak/>
        <w:drawing>
          <wp:anchor distT="0" distB="0" distL="114300" distR="114300" simplePos="0" relativeHeight="251659264" behindDoc="0" locked="0" layoutInCell="1" allowOverlap="1" wp14:anchorId="1FC6D5D7" wp14:editId="2A06532D">
            <wp:simplePos x="0" y="0"/>
            <wp:positionH relativeFrom="column">
              <wp:posOffset>2391410</wp:posOffset>
            </wp:positionH>
            <wp:positionV relativeFrom="paragraph">
              <wp:posOffset>27940</wp:posOffset>
            </wp:positionV>
            <wp:extent cx="246380" cy="246380"/>
            <wp:effectExtent l="0" t="0" r="1270" b="1270"/>
            <wp:wrapNone/>
            <wp:docPr id="9" name="Image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46380" cy="246380"/>
                    </a:xfrm>
                    <a:prstGeom prst="rect">
                      <a:avLst/>
                    </a:prstGeom>
                    <a:noFill/>
                  </pic:spPr>
                </pic:pic>
              </a:graphicData>
            </a:graphic>
            <wp14:sizeRelH relativeFrom="page">
              <wp14:pctWidth>0</wp14:pctWidth>
            </wp14:sizeRelH>
            <wp14:sizeRelV relativeFrom="page">
              <wp14:pctHeight>0</wp14:pctHeight>
            </wp14:sizeRelV>
          </wp:anchor>
        </w:drawing>
      </w:r>
      <w:r w:rsidRPr="00DA10A2">
        <w:rPr>
          <w:rFonts w:ascii="BNPP Sans Light" w:hAnsi="BNPP Sans Light"/>
          <w:noProof/>
          <w:sz w:val="20"/>
          <w:lang w:eastAsia="fr-FR"/>
        </w:rPr>
        <w:drawing>
          <wp:anchor distT="0" distB="0" distL="114300" distR="114300" simplePos="0" relativeHeight="251660288" behindDoc="0" locked="0" layoutInCell="1" allowOverlap="1" wp14:anchorId="4FB1B66B" wp14:editId="6FB0153D">
            <wp:simplePos x="0" y="0"/>
            <wp:positionH relativeFrom="column">
              <wp:posOffset>2065407</wp:posOffset>
            </wp:positionH>
            <wp:positionV relativeFrom="paragraph">
              <wp:posOffset>20402</wp:posOffset>
            </wp:positionV>
            <wp:extent cx="262393" cy="262393"/>
            <wp:effectExtent l="0" t="0" r="4445" b="4445"/>
            <wp:wrapNone/>
            <wp:docPr id="10" name="Image 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61938" cy="261938"/>
                    </a:xfrm>
                    <a:prstGeom prst="rect">
                      <a:avLst/>
                    </a:prstGeom>
                    <a:noFill/>
                  </pic:spPr>
                </pic:pic>
              </a:graphicData>
            </a:graphic>
            <wp14:sizeRelH relativeFrom="page">
              <wp14:pctWidth>0</wp14:pctWidth>
            </wp14:sizeRelH>
            <wp14:sizeRelV relativeFrom="page">
              <wp14:pctHeight>0</wp14:pctHeight>
            </wp14:sizeRelV>
          </wp:anchor>
        </w:drawing>
      </w:r>
      <w:r w:rsidRPr="00DA10A2">
        <w:rPr>
          <w:rFonts w:ascii="BNPP Sans Light" w:hAnsi="BNPP Sans Light"/>
          <w:noProof/>
          <w:sz w:val="20"/>
          <w:lang w:eastAsia="fr-FR"/>
        </w:rPr>
        <w:drawing>
          <wp:anchor distT="0" distB="0" distL="114300" distR="114300" simplePos="0" relativeHeight="251661312" behindDoc="0" locked="0" layoutInCell="1" allowOverlap="1" wp14:anchorId="512BB45A" wp14:editId="14B2CFD1">
            <wp:simplePos x="0" y="0"/>
            <wp:positionH relativeFrom="column">
              <wp:posOffset>1652270</wp:posOffset>
            </wp:positionH>
            <wp:positionV relativeFrom="paragraph">
              <wp:posOffset>31115</wp:posOffset>
            </wp:positionV>
            <wp:extent cx="247650" cy="247650"/>
            <wp:effectExtent l="0" t="0" r="0" b="0"/>
            <wp:wrapNone/>
            <wp:docPr id="13" name="Image 1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247650" cy="247650"/>
                    </a:xfrm>
                    <a:prstGeom prst="rect">
                      <a:avLst/>
                    </a:prstGeom>
                    <a:noFill/>
                  </pic:spPr>
                </pic:pic>
              </a:graphicData>
            </a:graphic>
            <wp14:sizeRelH relativeFrom="page">
              <wp14:pctWidth>0</wp14:pctWidth>
            </wp14:sizeRelH>
            <wp14:sizeRelV relativeFrom="page">
              <wp14:pctHeight>0</wp14:pctHeight>
            </wp14:sizeRelV>
          </wp:anchor>
        </w:drawing>
      </w:r>
      <w:r w:rsidRPr="00DA10A2">
        <w:rPr>
          <w:rFonts w:ascii="BNPP Sans Light" w:hAnsi="BNPP Sans Light"/>
          <w:noProof/>
          <w:sz w:val="20"/>
          <w:lang w:eastAsia="fr-FR"/>
        </w:rPr>
        <w:drawing>
          <wp:inline distT="0" distB="0" distL="0" distR="0" wp14:anchorId="2ADB46B7" wp14:editId="3934A064">
            <wp:extent cx="1493520" cy="281940"/>
            <wp:effectExtent l="0" t="0" r="0" b="3810"/>
            <wp:docPr id="14" name="Picture 14">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C.jpg"/>
                    <pic:cNvPicPr/>
                  </pic:nvPicPr>
                  <pic:blipFill>
                    <a:blip r:embed="rId24">
                      <a:extLst>
                        <a:ext uri="{28A0092B-C50C-407E-A947-70E740481C1C}">
                          <a14:useLocalDpi xmlns:a14="http://schemas.microsoft.com/office/drawing/2010/main" val="0"/>
                        </a:ext>
                      </a:extLst>
                    </a:blip>
                    <a:stretch>
                      <a:fillRect/>
                    </a:stretch>
                  </pic:blipFill>
                  <pic:spPr>
                    <a:xfrm>
                      <a:off x="0" y="0"/>
                      <a:ext cx="1493520" cy="281940"/>
                    </a:xfrm>
                    <a:prstGeom prst="rect">
                      <a:avLst/>
                    </a:prstGeom>
                  </pic:spPr>
                </pic:pic>
              </a:graphicData>
            </a:graphic>
          </wp:inline>
        </w:drawing>
      </w:r>
    </w:p>
    <w:p w14:paraId="30592B7C" w14:textId="26C7A4CE" w:rsidR="00391E05" w:rsidRDefault="00391E05" w:rsidP="00EA04E9">
      <w:pPr>
        <w:spacing w:line="276" w:lineRule="auto"/>
        <w:rPr>
          <w:rFonts w:ascii="BNPP Sans Light" w:eastAsia="Batang" w:hAnsi="BNPP Sans Light" w:cs="Arial Narrow"/>
          <w:b/>
          <w:bCs/>
          <w:color w:val="00B050"/>
          <w:sz w:val="20"/>
          <w:lang w:val="en-GB"/>
        </w:rPr>
      </w:pPr>
    </w:p>
    <w:p w14:paraId="6BBACFFD" w14:textId="17E4673C" w:rsidR="00EA04E9" w:rsidRDefault="00EA04E9" w:rsidP="00EA04E9">
      <w:pPr>
        <w:spacing w:line="276" w:lineRule="auto"/>
        <w:rPr>
          <w:rFonts w:ascii="BNPP Sans Light" w:eastAsia="Batang" w:hAnsi="BNPP Sans Light" w:cs="Arial Narrow"/>
          <w:b/>
          <w:bCs/>
          <w:color w:val="00B050"/>
          <w:sz w:val="20"/>
          <w:lang w:val="en-GB"/>
        </w:rPr>
      </w:pPr>
      <w:r w:rsidRPr="00DA10A2">
        <w:rPr>
          <w:rFonts w:ascii="BNPP Sans Light" w:eastAsia="Batang" w:hAnsi="BNPP Sans Light" w:cs="Arial Narrow"/>
          <w:b/>
          <w:bCs/>
          <w:color w:val="00B050"/>
          <w:sz w:val="20"/>
          <w:lang w:val="en-GB"/>
        </w:rPr>
        <w:t>A</w:t>
      </w:r>
      <w:r>
        <w:rPr>
          <w:rFonts w:ascii="BNPP Sans Light" w:eastAsia="Batang" w:hAnsi="BNPP Sans Light" w:cs="Arial Narrow"/>
          <w:b/>
          <w:bCs/>
          <w:color w:val="00B050"/>
          <w:sz w:val="20"/>
          <w:lang w:val="en-GB"/>
        </w:rPr>
        <w:t xml:space="preserve">bout MATTER </w:t>
      </w:r>
    </w:p>
    <w:p w14:paraId="44244693" w14:textId="77777777" w:rsidR="00391E05" w:rsidRPr="00DA10A2" w:rsidRDefault="00391E05" w:rsidP="00EA04E9">
      <w:pPr>
        <w:spacing w:line="276" w:lineRule="auto"/>
        <w:rPr>
          <w:rFonts w:ascii="BNPP Sans Light" w:eastAsia="Batang" w:hAnsi="BNPP Sans Light" w:cs="Arial Narrow"/>
          <w:b/>
          <w:bCs/>
          <w:color w:val="00B050"/>
          <w:sz w:val="20"/>
          <w:lang w:val="en-GB"/>
        </w:rPr>
      </w:pPr>
    </w:p>
    <w:p w14:paraId="0E4D33FA" w14:textId="77777777" w:rsidR="00391E05" w:rsidRPr="00391E05" w:rsidRDefault="00391E05" w:rsidP="00391E05">
      <w:pPr>
        <w:spacing w:line="240" w:lineRule="auto"/>
        <w:rPr>
          <w:rFonts w:ascii="BNPP Sans Light" w:hAnsi="BNPP Sans Light"/>
          <w:sz w:val="20"/>
          <w:lang w:val="en-US"/>
        </w:rPr>
      </w:pPr>
      <w:r w:rsidRPr="00391E05">
        <w:rPr>
          <w:rFonts w:ascii="BNPP Sans Light" w:hAnsi="BNPP Sans Light"/>
          <w:sz w:val="20"/>
          <w:lang w:val="en-US"/>
        </w:rPr>
        <w:t xml:space="preserve">Matter is a B2B SaaS company </w:t>
      </w:r>
      <w:proofErr w:type="spellStart"/>
      <w:r w:rsidRPr="00391E05">
        <w:rPr>
          <w:rFonts w:ascii="BNPP Sans Light" w:hAnsi="BNPP Sans Light"/>
          <w:sz w:val="20"/>
          <w:lang w:val="en-US"/>
        </w:rPr>
        <w:t>specialising</w:t>
      </w:r>
      <w:proofErr w:type="spellEnd"/>
      <w:r w:rsidRPr="00391E05">
        <w:rPr>
          <w:rFonts w:ascii="BNPP Sans Light" w:hAnsi="BNPP Sans Light"/>
          <w:sz w:val="20"/>
          <w:lang w:val="en-US"/>
        </w:rPr>
        <w:t xml:space="preserve"> in the provision of sustainability data and insights. Matter was founded upon the premise that existing ESG and sustainability data on companies does not adequately capture and convey the true impact a company has on people and planet. Matter challenges conventional logics on ESG data, harnessing the power of collective intelligence by working with on-the-ground subject matter experts and </w:t>
      </w:r>
      <w:proofErr w:type="spellStart"/>
      <w:r w:rsidRPr="00391E05">
        <w:rPr>
          <w:rFonts w:ascii="BNPP Sans Light" w:hAnsi="BNPP Sans Light"/>
          <w:sz w:val="20"/>
          <w:lang w:val="en-US"/>
        </w:rPr>
        <w:t>utilising</w:t>
      </w:r>
      <w:proofErr w:type="spellEnd"/>
      <w:r w:rsidRPr="00391E05">
        <w:rPr>
          <w:rFonts w:ascii="BNPP Sans Light" w:hAnsi="BNPP Sans Light"/>
          <w:sz w:val="20"/>
          <w:lang w:val="en-US"/>
        </w:rPr>
        <w:t xml:space="preserve"> the latest technology in the fields of AI and Machine Learning to provide investors with a 360-degree view of company sustainability and SDG alignment. </w:t>
      </w:r>
    </w:p>
    <w:p w14:paraId="42CFB7BD" w14:textId="77777777" w:rsidR="00391E05" w:rsidRPr="00391E05" w:rsidRDefault="00391E05" w:rsidP="00391E05">
      <w:pPr>
        <w:spacing w:line="240" w:lineRule="auto"/>
        <w:rPr>
          <w:rFonts w:ascii="BNPP Sans Light" w:hAnsi="BNPP Sans Light"/>
          <w:sz w:val="20"/>
          <w:lang w:val="en-US"/>
        </w:rPr>
      </w:pPr>
    </w:p>
    <w:p w14:paraId="35C8B729" w14:textId="7DBB65A3" w:rsidR="00391E05" w:rsidRDefault="00391E05" w:rsidP="00391E05">
      <w:pPr>
        <w:spacing w:line="240" w:lineRule="auto"/>
        <w:rPr>
          <w:rFonts w:ascii="BNPP Sans Light" w:hAnsi="BNPP Sans Light"/>
          <w:sz w:val="20"/>
          <w:lang w:val="en-US"/>
        </w:rPr>
      </w:pPr>
      <w:r w:rsidRPr="00391E05">
        <w:rPr>
          <w:rFonts w:ascii="BNPP Sans Light" w:hAnsi="BNPP Sans Light"/>
          <w:sz w:val="20"/>
          <w:lang w:val="en-US"/>
        </w:rPr>
        <w:t>By providing investors with sustainability and SDG insights which are granular, disaggregated and holistic, Matter aims to reshape the way investors understand and use insights for sustainable investing.</w:t>
      </w:r>
    </w:p>
    <w:p w14:paraId="19371222" w14:textId="70BF55D3" w:rsidR="00391E05" w:rsidRDefault="00391E05" w:rsidP="00391E05">
      <w:pPr>
        <w:spacing w:line="240" w:lineRule="auto"/>
        <w:rPr>
          <w:rFonts w:ascii="BNPP Sans Light" w:hAnsi="BNPP Sans Light"/>
          <w:sz w:val="20"/>
          <w:lang w:val="en-US"/>
        </w:rPr>
      </w:pPr>
    </w:p>
    <w:p w14:paraId="774C77AF" w14:textId="59BAC6DC" w:rsidR="00391E05" w:rsidRPr="00391E05" w:rsidRDefault="00391E05" w:rsidP="00391E05">
      <w:pPr>
        <w:spacing w:line="240" w:lineRule="auto"/>
        <w:rPr>
          <w:rStyle w:val="Hyperlink"/>
          <w:lang w:val="en-GB"/>
        </w:rPr>
      </w:pPr>
      <w:r w:rsidRPr="00DA10A2">
        <w:rPr>
          <w:rFonts w:ascii="BNPP Sans Light" w:hAnsi="BNPP Sans Light"/>
          <w:sz w:val="20"/>
          <w:lang w:val="en-GB"/>
        </w:rPr>
        <w:t xml:space="preserve">For more information please visit </w:t>
      </w:r>
      <w:hyperlink r:id="rId25" w:history="1">
        <w:r w:rsidRPr="00391E05">
          <w:rPr>
            <w:rStyle w:val="Hyperlink"/>
            <w:rFonts w:ascii="BNPP Sans Light" w:hAnsi="BNPP Sans Light"/>
            <w:sz w:val="20"/>
            <w:lang w:val="en-GB"/>
          </w:rPr>
          <w:t>https://www.thisismatter.com/</w:t>
        </w:r>
      </w:hyperlink>
      <w:r w:rsidRPr="00391E05">
        <w:rPr>
          <w:rStyle w:val="Hyperlink"/>
          <w:rFonts w:ascii="BNPP Sans Light" w:hAnsi="BNPP Sans Light"/>
          <w:sz w:val="20"/>
          <w:lang w:val="en-GB"/>
        </w:rPr>
        <w:t xml:space="preserve"> </w:t>
      </w:r>
    </w:p>
    <w:p w14:paraId="016E23D9" w14:textId="77777777" w:rsidR="009C74A8" w:rsidRPr="00391E05" w:rsidRDefault="009C74A8" w:rsidP="00391E05">
      <w:pPr>
        <w:spacing w:line="240" w:lineRule="auto"/>
        <w:rPr>
          <w:rStyle w:val="Hyperlink"/>
          <w:lang w:val="en-GB"/>
        </w:rPr>
      </w:pPr>
    </w:p>
    <w:p w14:paraId="214C137C" w14:textId="77777777" w:rsidR="009C74A8" w:rsidRPr="00DA10A2" w:rsidRDefault="009C74A8" w:rsidP="009C74A8">
      <w:pPr>
        <w:spacing w:line="276" w:lineRule="auto"/>
        <w:rPr>
          <w:rFonts w:ascii="BNPP Sans Light" w:eastAsia="Batang" w:hAnsi="BNPP Sans Light" w:cs="Arial Narrow"/>
          <w:b/>
          <w:bCs/>
          <w:color w:val="00B050"/>
          <w:sz w:val="20"/>
          <w:lang w:val="en-GB"/>
        </w:rPr>
      </w:pPr>
      <w:r w:rsidRPr="00DA10A2">
        <w:rPr>
          <w:rFonts w:ascii="BNPP Sans Light" w:eastAsia="Batang" w:hAnsi="BNPP Sans Light" w:cs="Arial Narrow"/>
          <w:b/>
          <w:bCs/>
          <w:color w:val="00B050"/>
          <w:sz w:val="20"/>
          <w:lang w:val="en-GB"/>
        </w:rPr>
        <w:t>Additional information</w:t>
      </w:r>
    </w:p>
    <w:p w14:paraId="178826FD" w14:textId="77777777" w:rsidR="009C74A8" w:rsidRPr="00DA10A2" w:rsidRDefault="009C74A8" w:rsidP="00494CC9">
      <w:pPr>
        <w:spacing w:line="240" w:lineRule="auto"/>
        <w:rPr>
          <w:rFonts w:ascii="BNPP Sans Light" w:eastAsia="Batang" w:hAnsi="BNPP Sans Light" w:cs="Arial Narrow"/>
          <w:bCs/>
          <w:sz w:val="20"/>
          <w:lang w:val="en-GB"/>
        </w:rPr>
      </w:pPr>
      <w:r w:rsidRPr="00DA10A2">
        <w:rPr>
          <w:rFonts w:ascii="BNPP Sans Light" w:eastAsia="Batang" w:hAnsi="BNPP Sans Light" w:cs="Arial Narrow"/>
          <w:bCs/>
          <w:sz w:val="20"/>
          <w:lang w:val="en-GB"/>
        </w:rPr>
        <w:t>BNP PARIBAS ASSET MANAGEMENT UK Limited, ‘the investment company’, is authorised and regulated by the Financial Conduct Authority.  Registered in England No: 02474627, registered office: 5 Aldermanbury Square, London, England, EC2V 7BP, United Kingdom.</w:t>
      </w:r>
    </w:p>
    <w:p w14:paraId="5D4C878F" w14:textId="77777777" w:rsidR="009C74A8" w:rsidRPr="00DA10A2" w:rsidRDefault="009C74A8" w:rsidP="00494CC9">
      <w:pPr>
        <w:spacing w:line="240" w:lineRule="auto"/>
        <w:rPr>
          <w:rFonts w:ascii="BNPP Sans Light" w:eastAsia="Batang" w:hAnsi="BNPP Sans Light" w:cs="Arial Narrow"/>
          <w:bCs/>
          <w:sz w:val="20"/>
          <w:lang w:val="en-GB"/>
        </w:rPr>
      </w:pPr>
    </w:p>
    <w:p w14:paraId="5BF95602" w14:textId="77777777" w:rsidR="009C74A8" w:rsidRPr="00DA10A2" w:rsidRDefault="009C74A8" w:rsidP="00494CC9">
      <w:pPr>
        <w:spacing w:line="240" w:lineRule="auto"/>
        <w:rPr>
          <w:rFonts w:ascii="BNPP Sans Light" w:eastAsia="Batang" w:hAnsi="BNPP Sans Light" w:cs="Arial Narrow"/>
          <w:bCs/>
          <w:sz w:val="20"/>
          <w:lang w:val="en-GB"/>
        </w:rPr>
      </w:pPr>
      <w:r w:rsidRPr="00DA10A2">
        <w:rPr>
          <w:rFonts w:ascii="BNPP Sans Light" w:eastAsia="Batang" w:hAnsi="BNPP Sans Light" w:cs="Arial Narrow"/>
          <w:bCs/>
          <w:sz w:val="20"/>
          <w:lang w:val="en-GB"/>
        </w:rPr>
        <w:t>This material is produced for information purposes only and does not constitute:</w:t>
      </w:r>
    </w:p>
    <w:p w14:paraId="07657B7F" w14:textId="77777777" w:rsidR="009C74A8" w:rsidRPr="00DA10A2" w:rsidRDefault="009C74A8" w:rsidP="00494CC9">
      <w:pPr>
        <w:spacing w:line="240" w:lineRule="auto"/>
        <w:rPr>
          <w:rFonts w:ascii="BNPP Sans Light" w:eastAsia="Batang" w:hAnsi="BNPP Sans Light" w:cs="Arial Narrow"/>
          <w:bCs/>
          <w:sz w:val="20"/>
          <w:lang w:val="en-GB"/>
        </w:rPr>
      </w:pPr>
    </w:p>
    <w:p w14:paraId="5B3F78C6" w14:textId="45A2F3D5" w:rsidR="009C74A8" w:rsidRPr="00DA10A2" w:rsidRDefault="009C74A8" w:rsidP="00494CC9">
      <w:pPr>
        <w:pStyle w:val="Listenabsatz"/>
        <w:numPr>
          <w:ilvl w:val="0"/>
          <w:numId w:val="9"/>
        </w:numPr>
        <w:spacing w:line="240" w:lineRule="auto"/>
        <w:rPr>
          <w:rFonts w:ascii="BNPP Sans Light" w:eastAsia="Batang" w:hAnsi="BNPP Sans Light" w:cs="Arial Narrow"/>
          <w:bCs/>
          <w:sz w:val="20"/>
          <w:lang w:val="en-GB"/>
        </w:rPr>
      </w:pPr>
      <w:r w:rsidRPr="00DA10A2">
        <w:rPr>
          <w:rFonts w:ascii="BNPP Sans Light" w:eastAsia="Batang" w:hAnsi="BNPP Sans Light" w:cs="Arial Narrow"/>
          <w:bCs/>
          <w:sz w:val="20"/>
          <w:lang w:val="en-GB"/>
        </w:rPr>
        <w:t>an offer to buy nor a solicitation to sell, nor shall it form the basis of or be relied upon in connection with any contract or commitment whatsoever or</w:t>
      </w:r>
    </w:p>
    <w:p w14:paraId="2D092244" w14:textId="420371C7" w:rsidR="009C74A8" w:rsidRPr="00DA10A2" w:rsidRDefault="009C74A8" w:rsidP="00494CC9">
      <w:pPr>
        <w:pStyle w:val="Listenabsatz"/>
        <w:numPr>
          <w:ilvl w:val="0"/>
          <w:numId w:val="9"/>
        </w:numPr>
        <w:spacing w:line="240" w:lineRule="auto"/>
        <w:rPr>
          <w:rFonts w:ascii="BNPP Sans Light" w:eastAsia="Batang" w:hAnsi="BNPP Sans Light" w:cs="Arial Narrow"/>
          <w:bCs/>
          <w:sz w:val="20"/>
          <w:lang w:val="en-GB"/>
        </w:rPr>
      </w:pPr>
      <w:r w:rsidRPr="00DA10A2">
        <w:rPr>
          <w:rFonts w:ascii="BNPP Sans Light" w:eastAsia="Batang" w:hAnsi="BNPP Sans Light" w:cs="Arial Narrow"/>
          <w:bCs/>
          <w:sz w:val="20"/>
          <w:lang w:val="en-GB"/>
        </w:rPr>
        <w:t>investment advice.</w:t>
      </w:r>
    </w:p>
    <w:p w14:paraId="5274587A" w14:textId="77777777" w:rsidR="009C74A8" w:rsidRPr="00DA10A2" w:rsidRDefault="009C74A8" w:rsidP="00494CC9">
      <w:pPr>
        <w:spacing w:line="240" w:lineRule="auto"/>
        <w:rPr>
          <w:rFonts w:ascii="BNPP Sans Light" w:eastAsia="Batang" w:hAnsi="BNPP Sans Light" w:cs="Arial Narrow"/>
          <w:bCs/>
          <w:sz w:val="20"/>
          <w:lang w:val="en-GB"/>
        </w:rPr>
      </w:pPr>
    </w:p>
    <w:p w14:paraId="54732EFD" w14:textId="77777777" w:rsidR="009C74A8" w:rsidRPr="00DA10A2" w:rsidRDefault="009C74A8" w:rsidP="00494CC9">
      <w:pPr>
        <w:spacing w:line="240" w:lineRule="auto"/>
        <w:rPr>
          <w:rFonts w:ascii="BNPP Sans Light" w:eastAsia="Batang" w:hAnsi="BNPP Sans Light" w:cs="Arial Narrow"/>
          <w:bCs/>
          <w:sz w:val="20"/>
          <w:lang w:val="en-GB"/>
        </w:rPr>
      </w:pPr>
      <w:r w:rsidRPr="00DA10A2">
        <w:rPr>
          <w:rFonts w:ascii="BNPP Sans Light" w:eastAsia="Batang" w:hAnsi="BNPP Sans Light" w:cs="Arial Narrow"/>
          <w:bCs/>
          <w:sz w:val="20"/>
          <w:lang w:val="en-GB"/>
        </w:rPr>
        <w:t>This material is issued and has been prepared by the investment company.  It contains opinions and statistical data that are considered lawful and correct on the day of their publication according to the economic and financial environment at the time.  This document does not constitute investment advice or form part of an offer or invitation to subscribe for or to purchase any financial instrument(s) nor shall it or any part of it form the basis of any contract or commitment whatsoever.</w:t>
      </w:r>
    </w:p>
    <w:p w14:paraId="61DE849D" w14:textId="669990F8" w:rsidR="009C74A8" w:rsidRPr="00DA10A2" w:rsidRDefault="009C74A8" w:rsidP="00494CC9">
      <w:pPr>
        <w:spacing w:line="240" w:lineRule="auto"/>
        <w:rPr>
          <w:rFonts w:ascii="BNPP Sans Light" w:eastAsia="Batang" w:hAnsi="BNPP Sans Light" w:cs="Arial Narrow"/>
          <w:bCs/>
          <w:sz w:val="20"/>
          <w:lang w:val="en-GB"/>
        </w:rPr>
      </w:pPr>
    </w:p>
    <w:p w14:paraId="309259AC" w14:textId="23103A68" w:rsidR="009C74A8" w:rsidRPr="00DA10A2" w:rsidRDefault="009C74A8" w:rsidP="00494CC9">
      <w:pPr>
        <w:spacing w:line="240" w:lineRule="auto"/>
        <w:rPr>
          <w:rFonts w:ascii="BNPP Sans Light" w:eastAsia="Batang" w:hAnsi="BNPP Sans Light" w:cs="Arial Narrow"/>
          <w:bCs/>
          <w:sz w:val="20"/>
          <w:lang w:val="en-GB"/>
        </w:rPr>
      </w:pPr>
      <w:r w:rsidRPr="00DA10A2">
        <w:rPr>
          <w:rFonts w:ascii="BNPP Sans Light" w:eastAsia="Batang" w:hAnsi="BNPP Sans Light" w:cs="Arial Narrow"/>
          <w:bCs/>
          <w:sz w:val="20"/>
          <w:lang w:val="en-GB"/>
        </w:rPr>
        <w:t>This document is provided without knowledge of an investors’ situation.  Prior to any subscription, investors should verify in which countries the financial instruments referred to in this document are registered and authorised for public sale.  In particular</w:t>
      </w:r>
      <w:r w:rsidR="009F3E21" w:rsidRPr="00DA10A2">
        <w:rPr>
          <w:rFonts w:ascii="BNPP Sans Light" w:eastAsia="Batang" w:hAnsi="BNPP Sans Light" w:cs="Arial Narrow"/>
          <w:bCs/>
          <w:sz w:val="20"/>
          <w:lang w:val="en-GB"/>
        </w:rPr>
        <w:t>,</w:t>
      </w:r>
      <w:r w:rsidRPr="00DA10A2">
        <w:rPr>
          <w:rFonts w:ascii="BNPP Sans Light" w:eastAsia="Batang" w:hAnsi="BNPP Sans Light" w:cs="Arial Narrow"/>
          <w:bCs/>
          <w:sz w:val="20"/>
          <w:lang w:val="en-GB"/>
        </w:rPr>
        <w:t xml:space="preserve"> financial instruments cannot be offered or sold publicly in the United States.  Investors considering subscriptions should read carefully the most recent prospectus and Key Investor Information Document (KIID) agreed by the regulatory authority, available on the website.  Investors are invited to consult the most recent financial reports, which are also available on the website.  Investors should consult their own legal and tax advisors prior to investing.  Given the economic and market risks, there can be no assurance that the financial instruments will achieve </w:t>
      </w:r>
      <w:r w:rsidR="009F3E21" w:rsidRPr="00DA10A2">
        <w:rPr>
          <w:rFonts w:ascii="BNPP Sans Light" w:eastAsia="Batang" w:hAnsi="BNPP Sans Light" w:cs="Arial Narrow"/>
          <w:bCs/>
          <w:sz w:val="20"/>
          <w:lang w:val="en-GB"/>
        </w:rPr>
        <w:t>their</w:t>
      </w:r>
      <w:r w:rsidRPr="00DA10A2">
        <w:rPr>
          <w:rFonts w:ascii="BNPP Sans Light" w:eastAsia="Batang" w:hAnsi="BNPP Sans Light" w:cs="Arial Narrow"/>
          <w:bCs/>
          <w:sz w:val="20"/>
          <w:lang w:val="en-GB"/>
        </w:rPr>
        <w:t xml:space="preserve"> investment objectives.  Their value can decrease as well as increase. </w:t>
      </w:r>
      <w:r w:rsidR="009F3E21" w:rsidRPr="00DA10A2">
        <w:rPr>
          <w:rFonts w:ascii="BNPP Sans Light" w:eastAsia="Batang" w:hAnsi="BNPP Sans Light" w:cs="Arial Narrow"/>
          <w:bCs/>
          <w:sz w:val="20"/>
          <w:lang w:val="en-GB"/>
        </w:rPr>
        <w:t xml:space="preserve"> </w:t>
      </w:r>
      <w:r w:rsidRPr="00DA10A2">
        <w:rPr>
          <w:rFonts w:ascii="BNPP Sans Light" w:eastAsia="Batang" w:hAnsi="BNPP Sans Light" w:cs="Arial Narrow"/>
          <w:bCs/>
          <w:sz w:val="20"/>
          <w:lang w:val="en-GB"/>
        </w:rPr>
        <w:t>In particular, changes in currency exchange rates may affect the value of an investment.  Performance is shown net of management fees and is calculated using global returns with time factored in, with net dividends and reinvested interest, and does not include subscription-redemption fees, exchange rate fees or tax.  Any gross of fees performance included in this material do not reflect the deduction of commission, fees and other expenses incurred.  Returns will be reduced after the deduction of such fees.  Past performance is not a guarantee of future results.</w:t>
      </w:r>
    </w:p>
    <w:p w14:paraId="7986DEC4" w14:textId="77777777" w:rsidR="009C74A8" w:rsidRPr="00DA10A2" w:rsidRDefault="009C74A8" w:rsidP="00494CC9">
      <w:pPr>
        <w:spacing w:line="240" w:lineRule="auto"/>
        <w:rPr>
          <w:rFonts w:ascii="BNPP Sans Light" w:eastAsia="Batang" w:hAnsi="BNPP Sans Light" w:cs="Arial Narrow"/>
          <w:bCs/>
          <w:sz w:val="20"/>
          <w:lang w:val="en-GB"/>
        </w:rPr>
      </w:pPr>
    </w:p>
    <w:p w14:paraId="461D09C0" w14:textId="77777777" w:rsidR="009C74A8" w:rsidRPr="00DA10A2" w:rsidRDefault="009C74A8" w:rsidP="00494CC9">
      <w:pPr>
        <w:spacing w:line="240" w:lineRule="auto"/>
        <w:rPr>
          <w:rFonts w:ascii="BNPP Sans Light" w:eastAsia="Batang" w:hAnsi="BNPP Sans Light" w:cs="Arial Narrow"/>
          <w:bCs/>
          <w:sz w:val="20"/>
          <w:lang w:val="en-GB"/>
        </w:rPr>
      </w:pPr>
      <w:r w:rsidRPr="00DA10A2">
        <w:rPr>
          <w:rFonts w:ascii="BNPP Sans Light" w:eastAsia="Batang" w:hAnsi="BNPP Sans Light" w:cs="Arial Narrow"/>
          <w:bCs/>
          <w:sz w:val="20"/>
          <w:lang w:val="en-GB"/>
        </w:rPr>
        <w:t>This document is directed only at person(s) who have professional experience in matters relating to investments (‘relevant persons’).  Any investment or investment activity to which this document relates is available only to and will be engaged in only with Professional Clients as defined in the rules of the Financial Conduct Authority.  Any person who is not a relevant person should not act or rely on this document or any of its contents.</w:t>
      </w:r>
    </w:p>
    <w:p w14:paraId="630BF106" w14:textId="77777777" w:rsidR="009C74A8" w:rsidRPr="00DA10A2" w:rsidRDefault="009C74A8" w:rsidP="00494CC9">
      <w:pPr>
        <w:spacing w:line="240" w:lineRule="auto"/>
        <w:rPr>
          <w:rFonts w:ascii="BNPP Sans Light" w:eastAsia="Batang" w:hAnsi="BNPP Sans Light" w:cs="Arial Narrow"/>
          <w:bCs/>
          <w:sz w:val="20"/>
          <w:lang w:val="en-GB"/>
        </w:rPr>
      </w:pPr>
    </w:p>
    <w:p w14:paraId="5C2A710F" w14:textId="77777777" w:rsidR="009C74A8" w:rsidRPr="00DA10A2" w:rsidRDefault="009C74A8" w:rsidP="00494CC9">
      <w:pPr>
        <w:spacing w:line="240" w:lineRule="auto"/>
        <w:rPr>
          <w:rFonts w:ascii="BNPP Sans Light" w:eastAsia="Batang" w:hAnsi="BNPP Sans Light" w:cs="Arial Narrow"/>
          <w:bCs/>
          <w:sz w:val="20"/>
          <w:lang w:val="en-GB"/>
        </w:rPr>
      </w:pPr>
      <w:r w:rsidRPr="00DA10A2">
        <w:rPr>
          <w:rFonts w:ascii="BNPP Sans Light" w:eastAsia="Batang" w:hAnsi="BNPP Sans Light" w:cs="Arial Narrow"/>
          <w:bCs/>
          <w:sz w:val="20"/>
          <w:lang w:val="en-GB"/>
        </w:rPr>
        <w:t xml:space="preserve">All information referred to in the present document is available at </w:t>
      </w:r>
      <w:hyperlink r:id="rId26" w:history="1">
        <w:r w:rsidRPr="00DA10A2">
          <w:rPr>
            <w:rFonts w:ascii="BNPP Sans Light" w:eastAsia="Batang" w:hAnsi="BNPP Sans Light" w:cs="Arial Narrow"/>
            <w:bCs/>
            <w:color w:val="00A76C" w:themeColor="accent6"/>
            <w:sz w:val="20"/>
            <w:lang w:val="en-GB"/>
          </w:rPr>
          <w:t>www.bnpparibas-am.com</w:t>
        </w:r>
      </w:hyperlink>
      <w:r w:rsidRPr="00DA10A2">
        <w:rPr>
          <w:rFonts w:ascii="BNPP Sans Light" w:eastAsia="Batang" w:hAnsi="BNPP Sans Light" w:cs="Arial Narrow"/>
          <w:bCs/>
          <w:sz w:val="20"/>
          <w:lang w:val="en-GB"/>
        </w:rPr>
        <w:t>.</w:t>
      </w:r>
    </w:p>
    <w:p w14:paraId="63402C48" w14:textId="77777777" w:rsidR="009C74A8" w:rsidRPr="00DA10A2" w:rsidRDefault="009C74A8" w:rsidP="00494CC9">
      <w:pPr>
        <w:spacing w:line="240" w:lineRule="auto"/>
        <w:rPr>
          <w:rFonts w:ascii="BNPP Sans Light" w:eastAsia="Batang" w:hAnsi="BNPP Sans Light" w:cs="Arial Narrow"/>
          <w:bCs/>
          <w:sz w:val="20"/>
          <w:lang w:val="en-GB"/>
        </w:rPr>
      </w:pPr>
    </w:p>
    <w:p w14:paraId="2FEFAC36" w14:textId="77777777" w:rsidR="009C74A8" w:rsidRPr="00DA10A2" w:rsidRDefault="009C74A8" w:rsidP="00494CC9">
      <w:pPr>
        <w:spacing w:line="240" w:lineRule="auto"/>
        <w:rPr>
          <w:rFonts w:ascii="BNPP Sans Light" w:eastAsia="Batang" w:hAnsi="BNPP Sans Light" w:cs="Arial Narrow"/>
          <w:bCs/>
          <w:sz w:val="20"/>
          <w:lang w:val="en-GB"/>
        </w:rPr>
      </w:pPr>
      <w:r w:rsidRPr="00DA10A2">
        <w:rPr>
          <w:rFonts w:ascii="BNPP Sans Light" w:eastAsia="Batang" w:hAnsi="BNPP Sans Light" w:cs="Arial Narrow"/>
          <w:bCs/>
          <w:sz w:val="20"/>
          <w:lang w:val="en-GB"/>
        </w:rPr>
        <w:t>This is a Marketing Communication for Professional Investors only.  No assurance can be given that any forecast, target or opinion will materialise.</w:t>
      </w:r>
    </w:p>
    <w:p w14:paraId="18AE563B" w14:textId="77777777" w:rsidR="009C74A8" w:rsidRPr="00DA10A2" w:rsidRDefault="009C74A8" w:rsidP="00494CC9">
      <w:pPr>
        <w:spacing w:line="240" w:lineRule="auto"/>
        <w:rPr>
          <w:rFonts w:ascii="BNPP Sans Light" w:eastAsia="Batang" w:hAnsi="BNPP Sans Light" w:cs="Arial Narrow"/>
          <w:bCs/>
          <w:sz w:val="20"/>
          <w:lang w:val="en-GB"/>
        </w:rPr>
      </w:pPr>
    </w:p>
    <w:p w14:paraId="732EDB44" w14:textId="685DCA1C" w:rsidR="009C74A8" w:rsidRPr="00DA10A2" w:rsidRDefault="009C74A8" w:rsidP="00494CC9">
      <w:pPr>
        <w:spacing w:line="240" w:lineRule="auto"/>
        <w:rPr>
          <w:rFonts w:ascii="BNPP Sans Light" w:eastAsia="Batang" w:hAnsi="BNPP Sans Light" w:cs="Arial Narrow"/>
          <w:bCs/>
          <w:sz w:val="20"/>
          <w:lang w:val="en-GB"/>
        </w:rPr>
      </w:pPr>
      <w:r w:rsidRPr="00DA10A2">
        <w:rPr>
          <w:rFonts w:ascii="BNPP Sans Light" w:eastAsia="Batang" w:hAnsi="BNPP Sans Light" w:cs="Arial Narrow"/>
          <w:bCs/>
          <w:sz w:val="20"/>
          <w:lang w:val="en-GB"/>
        </w:rPr>
        <w:t xml:space="preserve">As at </w:t>
      </w:r>
      <w:r w:rsidR="006A128B">
        <w:rPr>
          <w:rFonts w:ascii="BNPP Sans Light" w:eastAsia="Batang" w:hAnsi="BNPP Sans Light" w:cs="Arial Narrow"/>
          <w:bCs/>
          <w:sz w:val="20"/>
          <w:lang w:val="en-GB"/>
        </w:rPr>
        <w:t>June</w:t>
      </w:r>
      <w:r w:rsidR="006A128B" w:rsidRPr="00DA10A2">
        <w:rPr>
          <w:rFonts w:ascii="BNPP Sans Light" w:eastAsia="Batang" w:hAnsi="BNPP Sans Light" w:cs="Arial Narrow"/>
          <w:bCs/>
          <w:sz w:val="20"/>
          <w:lang w:val="en-GB"/>
        </w:rPr>
        <w:t xml:space="preserve"> </w:t>
      </w:r>
      <w:r w:rsidRPr="00DA10A2">
        <w:rPr>
          <w:rFonts w:ascii="BNPP Sans Light" w:eastAsia="Batang" w:hAnsi="BNPP Sans Light" w:cs="Arial Narrow"/>
          <w:bCs/>
          <w:sz w:val="20"/>
          <w:lang w:val="en-GB"/>
        </w:rPr>
        <w:t>202</w:t>
      </w:r>
      <w:r w:rsidR="00CF05B2" w:rsidRPr="00DA10A2">
        <w:rPr>
          <w:rFonts w:ascii="BNPP Sans Light" w:eastAsia="Batang" w:hAnsi="BNPP Sans Light" w:cs="Arial Narrow"/>
          <w:bCs/>
          <w:sz w:val="20"/>
          <w:lang w:val="en-GB"/>
        </w:rPr>
        <w:t>2</w:t>
      </w:r>
      <w:r w:rsidRPr="00DA10A2">
        <w:rPr>
          <w:rFonts w:ascii="BNPP Sans Light" w:eastAsia="Batang" w:hAnsi="BNPP Sans Light" w:cs="Arial Narrow"/>
          <w:bCs/>
          <w:sz w:val="20"/>
          <w:lang w:val="en-GB"/>
        </w:rPr>
        <w:t>.</w:t>
      </w:r>
    </w:p>
    <w:sectPr w:rsidR="009C74A8" w:rsidRPr="00DA10A2" w:rsidSect="005605C9">
      <w:headerReference w:type="even" r:id="rId27"/>
      <w:headerReference w:type="default" r:id="rId28"/>
      <w:footerReference w:type="even" r:id="rId29"/>
      <w:footerReference w:type="default" r:id="rId30"/>
      <w:headerReference w:type="first" r:id="rId31"/>
      <w:footerReference w:type="first" r:id="rId32"/>
      <w:pgSz w:w="11906" w:h="16838" w:code="9"/>
      <w:pgMar w:top="851" w:right="851" w:bottom="1418" w:left="851"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D7B00" w14:textId="77777777" w:rsidR="002E3B99" w:rsidRDefault="002E3B99" w:rsidP="008C4C01">
      <w:r>
        <w:separator/>
      </w:r>
    </w:p>
  </w:endnote>
  <w:endnote w:type="continuationSeparator" w:id="0">
    <w:p w14:paraId="5F39FDAC" w14:textId="77777777" w:rsidR="002E3B99" w:rsidRDefault="002E3B99" w:rsidP="008C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NPP Sans Light">
    <w:panose1 w:val="02000503020000020004"/>
    <w:charset w:val="00"/>
    <w:family w:val="modern"/>
    <w:notTrueType/>
    <w:pitch w:val="variable"/>
    <w:sig w:usb0="A00002AF" w:usb1="4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NPP Sans">
    <w:panose1 w:val="02000000000000000000"/>
    <w:charset w:val="00"/>
    <w:family w:val="auto"/>
    <w:pitch w:val="variable"/>
    <w:sig w:usb0="A00002AF" w:usb1="4000204A"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BC33" w14:textId="092E50C4" w:rsidR="00434EFA" w:rsidRDefault="00F31E20" w:rsidP="00F31E20">
    <w:pPr>
      <w:pStyle w:val="Fuzeile"/>
      <w:jc w:val="left"/>
      <w:rPr>
        <w:color w:val="000000"/>
        <w:sz w:val="17"/>
      </w:rPr>
    </w:pPr>
    <w:bookmarkStart w:id="0" w:name="TITUS1FooterEvenPages"/>
    <w:r>
      <w:rPr>
        <w:color w:val="000000"/>
        <w:sz w:val="17"/>
      </w:rPr>
      <w:t> </w:t>
    </w:r>
  </w:p>
  <w:bookmarkEnd w:id="0"/>
  <w:p w14:paraId="7C36825F" w14:textId="5A02570C" w:rsidR="00434EFA" w:rsidRDefault="00434EFA">
    <w:pPr>
      <w:pStyle w:val="Fuzeile"/>
    </w:pPr>
    <w:r>
      <w:rPr>
        <w:noProof/>
        <w:lang w:eastAsia="fr-FR"/>
      </w:rPr>
      <w:drawing>
        <wp:inline distT="0" distB="0" distL="0" distR="0" wp14:anchorId="5234701F" wp14:editId="40BE279C">
          <wp:extent cx="5943600" cy="626960"/>
          <wp:effectExtent l="0" t="0" r="0" b="1905"/>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_release_AM_EN.jpg"/>
                  <pic:cNvPicPr/>
                </pic:nvPicPr>
                <pic:blipFill>
                  <a:blip r:embed="rId1">
                    <a:extLst>
                      <a:ext uri="{28A0092B-C50C-407E-A947-70E740481C1C}">
                        <a14:useLocalDpi xmlns:a14="http://schemas.microsoft.com/office/drawing/2010/main" val="0"/>
                      </a:ext>
                    </a:extLst>
                  </a:blip>
                  <a:stretch>
                    <a:fillRect/>
                  </a:stretch>
                </pic:blipFill>
                <pic:spPr>
                  <a:xfrm>
                    <a:off x="0" y="0"/>
                    <a:ext cx="5943600" cy="626960"/>
                  </a:xfrm>
                  <a:prstGeom prst="rect">
                    <a:avLst/>
                  </a:prstGeom>
                </pic:spPr>
              </pic:pic>
            </a:graphicData>
          </a:graphic>
        </wp:inline>
      </w:drawing>
    </w:r>
  </w:p>
  <w:p w14:paraId="358A7E8D" w14:textId="77777777" w:rsidR="00070A79" w:rsidRDefault="00070A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D7CA4" w14:textId="14C4EF64" w:rsidR="00434EFA" w:rsidRDefault="00F31E20" w:rsidP="00F31E20">
    <w:pPr>
      <w:pStyle w:val="Fuzeile"/>
      <w:jc w:val="left"/>
      <w:rPr>
        <w:color w:val="000000"/>
        <w:sz w:val="17"/>
      </w:rPr>
    </w:pPr>
    <w:bookmarkStart w:id="1" w:name="TITUS1FooterPrimary"/>
    <w:r>
      <w:rPr>
        <w:color w:val="000000"/>
        <w:sz w:val="17"/>
      </w:rPr>
      <w:t> </w:t>
    </w:r>
  </w:p>
  <w:bookmarkEnd w:id="1"/>
  <w:p w14:paraId="7C91FB18" w14:textId="4DBE8581" w:rsidR="00161CB7" w:rsidRDefault="00A61DC1" w:rsidP="008C4C01">
    <w:pPr>
      <w:pStyle w:val="Fuzeile"/>
    </w:pPr>
    <w:r>
      <w:rPr>
        <w:noProof/>
        <w:lang w:eastAsia="fr-FR"/>
      </w:rPr>
      <w:drawing>
        <wp:inline distT="0" distB="0" distL="0" distR="0" wp14:anchorId="470B0573" wp14:editId="0CDCDF0D">
          <wp:extent cx="5943600" cy="626960"/>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_release_AM_EN.jpg"/>
                  <pic:cNvPicPr/>
                </pic:nvPicPr>
                <pic:blipFill>
                  <a:blip r:embed="rId1">
                    <a:extLst>
                      <a:ext uri="{28A0092B-C50C-407E-A947-70E740481C1C}">
                        <a14:useLocalDpi xmlns:a14="http://schemas.microsoft.com/office/drawing/2010/main" val="0"/>
                      </a:ext>
                    </a:extLst>
                  </a:blip>
                  <a:stretch>
                    <a:fillRect/>
                  </a:stretch>
                </pic:blipFill>
                <pic:spPr>
                  <a:xfrm>
                    <a:off x="0" y="0"/>
                    <a:ext cx="5943600" cy="6269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2945" w14:textId="1A867D78" w:rsidR="00434EFA" w:rsidRDefault="00F31E20" w:rsidP="00F31E20">
    <w:pPr>
      <w:pStyle w:val="Fuzeile"/>
      <w:jc w:val="left"/>
      <w:rPr>
        <w:color w:val="000000"/>
        <w:sz w:val="17"/>
      </w:rPr>
    </w:pPr>
    <w:bookmarkStart w:id="2" w:name="TITUS1FooterFirstPage"/>
    <w:r>
      <w:rPr>
        <w:color w:val="000000"/>
        <w:sz w:val="17"/>
      </w:rPr>
      <w:t> </w:t>
    </w:r>
  </w:p>
  <w:bookmarkEnd w:id="2"/>
  <w:p w14:paraId="2C9C637F" w14:textId="6F4F22D4" w:rsidR="00434EFA" w:rsidRDefault="00434EFA">
    <w:pPr>
      <w:pStyle w:val="Fuzeile"/>
    </w:pPr>
    <w:r>
      <w:rPr>
        <w:noProof/>
        <w:lang w:eastAsia="fr-FR"/>
      </w:rPr>
      <w:drawing>
        <wp:inline distT="0" distB="0" distL="0" distR="0" wp14:anchorId="06A1D695" wp14:editId="09B1C4A2">
          <wp:extent cx="5943600" cy="626960"/>
          <wp:effectExtent l="0" t="0" r="0" b="1905"/>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_release_AM_EN.jpg"/>
                  <pic:cNvPicPr/>
                </pic:nvPicPr>
                <pic:blipFill>
                  <a:blip r:embed="rId1">
                    <a:extLst>
                      <a:ext uri="{28A0092B-C50C-407E-A947-70E740481C1C}">
                        <a14:useLocalDpi xmlns:a14="http://schemas.microsoft.com/office/drawing/2010/main" val="0"/>
                      </a:ext>
                    </a:extLst>
                  </a:blip>
                  <a:stretch>
                    <a:fillRect/>
                  </a:stretch>
                </pic:blipFill>
                <pic:spPr>
                  <a:xfrm>
                    <a:off x="0" y="0"/>
                    <a:ext cx="5943600" cy="626960"/>
                  </a:xfrm>
                  <a:prstGeom prst="rect">
                    <a:avLst/>
                  </a:prstGeom>
                </pic:spPr>
              </pic:pic>
            </a:graphicData>
          </a:graphic>
        </wp:inline>
      </w:drawing>
    </w:r>
  </w:p>
  <w:p w14:paraId="4A9209D3" w14:textId="77777777" w:rsidR="00070A79" w:rsidRDefault="00070A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D4F72" w14:textId="77777777" w:rsidR="002E3B99" w:rsidRDefault="002E3B99" w:rsidP="008C4C01">
      <w:r>
        <w:separator/>
      </w:r>
    </w:p>
  </w:footnote>
  <w:footnote w:type="continuationSeparator" w:id="0">
    <w:p w14:paraId="71705ED3" w14:textId="77777777" w:rsidR="002E3B99" w:rsidRDefault="002E3B99" w:rsidP="008C4C01">
      <w:r>
        <w:continuationSeparator/>
      </w:r>
    </w:p>
  </w:footnote>
  <w:footnote w:id="1">
    <w:p w14:paraId="768F258A" w14:textId="77777777" w:rsidR="00E87750" w:rsidRPr="00496CC8" w:rsidRDefault="00E87750" w:rsidP="00E87750">
      <w:pPr>
        <w:pStyle w:val="Funotentext"/>
        <w:rPr>
          <w:lang w:val="en-US"/>
        </w:rPr>
      </w:pPr>
      <w:r>
        <w:rPr>
          <w:rStyle w:val="Funotenzeichen"/>
        </w:rPr>
        <w:footnoteRef/>
      </w:r>
      <w:r>
        <w:rPr>
          <w:lang w:val="en-US"/>
        </w:rPr>
        <w:t xml:space="preserve"> </w:t>
      </w:r>
      <w:r w:rsidRPr="00496CC8">
        <w:rPr>
          <w:rFonts w:ascii="BNPP Sans Light" w:hAnsi="BNPP Sans Light"/>
          <w:sz w:val="16"/>
          <w:szCs w:val="16"/>
          <w:lang w:val="en-GB"/>
        </w:rPr>
        <w:t xml:space="preserve">The majority </w:t>
      </w:r>
      <w:r>
        <w:rPr>
          <w:rFonts w:ascii="BNPP Sans Light" w:hAnsi="BNPP Sans Light"/>
          <w:sz w:val="16"/>
          <w:szCs w:val="16"/>
          <w:lang w:val="en-GB"/>
        </w:rPr>
        <w:t xml:space="preserve">of which (roughly 93%) </w:t>
      </w:r>
      <w:r w:rsidRPr="00496CC8">
        <w:rPr>
          <w:rFonts w:ascii="BNPP Sans Light" w:hAnsi="BNPP Sans Light"/>
          <w:sz w:val="16"/>
          <w:szCs w:val="16"/>
          <w:lang w:val="en-GB"/>
        </w:rPr>
        <w:t>are publicly traded companies.</w:t>
      </w:r>
      <w:r>
        <w:rPr>
          <w:lang w:val="en-US"/>
        </w:rPr>
        <w:t xml:space="preserve"> </w:t>
      </w:r>
    </w:p>
  </w:footnote>
  <w:footnote w:id="2">
    <w:p w14:paraId="387D56C8" w14:textId="20141E2C" w:rsidR="00E9029A" w:rsidRPr="00EA04E9" w:rsidRDefault="00E9029A">
      <w:pPr>
        <w:pStyle w:val="Funotentext"/>
        <w:rPr>
          <w:rFonts w:ascii="BNPP Sans Light" w:hAnsi="BNPP Sans Light"/>
          <w:sz w:val="16"/>
          <w:szCs w:val="16"/>
          <w:lang w:val="en-GB"/>
        </w:rPr>
      </w:pPr>
      <w:r w:rsidRPr="00EA04E9">
        <w:rPr>
          <w:rStyle w:val="Funotenzeichen"/>
          <w:rFonts w:ascii="BNPP Sans Light" w:hAnsi="BNPP Sans Light"/>
          <w:sz w:val="16"/>
          <w:szCs w:val="16"/>
        </w:rPr>
        <w:footnoteRef/>
      </w:r>
      <w:r w:rsidRPr="00EA04E9">
        <w:rPr>
          <w:rFonts w:ascii="BNPP Sans Light" w:hAnsi="BNPP Sans Light"/>
          <w:sz w:val="16"/>
          <w:szCs w:val="16"/>
          <w:lang w:val="en-GB"/>
        </w:rPr>
        <w:t xml:space="preserve"> Source: </w:t>
      </w:r>
      <w:r w:rsidR="00655E94">
        <w:rPr>
          <w:rFonts w:ascii="BNPP Sans Light" w:hAnsi="BNPP Sans Light"/>
          <w:sz w:val="16"/>
          <w:szCs w:val="16"/>
          <w:lang w:val="en-GB"/>
        </w:rPr>
        <w:t>Business &amp; Sustainable Development Commission</w:t>
      </w:r>
      <w:r w:rsidR="00655E94" w:rsidRPr="00496CC8">
        <w:rPr>
          <w:rFonts w:ascii="BNPP Sans Light" w:hAnsi="BNPP Sans Light"/>
          <w:sz w:val="16"/>
          <w:szCs w:val="16"/>
          <w:lang w:val="en-GB"/>
        </w:rPr>
        <w:t xml:space="preserve">. </w:t>
      </w:r>
      <w:r w:rsidR="00655E94" w:rsidRPr="000D5AAA">
        <w:rPr>
          <w:rFonts w:ascii="BNPP Sans Light" w:hAnsi="BNPP Sans Light"/>
          <w:sz w:val="16"/>
          <w:szCs w:val="16"/>
          <w:lang w:val="en-GB"/>
        </w:rPr>
        <w:t xml:space="preserve">Available </w:t>
      </w:r>
      <w:hyperlink r:id="rId1" w:history="1">
        <w:r w:rsidR="00655E94" w:rsidRPr="000D5AAA">
          <w:rPr>
            <w:rStyle w:val="Hyperlink"/>
            <w:rFonts w:ascii="BNPP Sans Light" w:hAnsi="BNPP Sans Light"/>
            <w:sz w:val="16"/>
            <w:szCs w:val="16"/>
            <w:lang w:val="en-GB"/>
          </w:rPr>
          <w:t>here</w:t>
        </w:r>
      </w:hyperlink>
    </w:p>
  </w:footnote>
  <w:footnote w:id="3">
    <w:p w14:paraId="58912EB3" w14:textId="0F77CAED" w:rsidR="006A128B" w:rsidRPr="00015A34" w:rsidRDefault="006A128B">
      <w:pPr>
        <w:pStyle w:val="Funotentext"/>
        <w:rPr>
          <w:rFonts w:ascii="BNPP Sans Light" w:hAnsi="BNPP Sans Light"/>
          <w:sz w:val="16"/>
          <w:szCs w:val="16"/>
          <w:lang w:val="en-US"/>
        </w:rPr>
      </w:pPr>
      <w:r w:rsidRPr="00EA04E9">
        <w:rPr>
          <w:rStyle w:val="Funotenzeichen"/>
          <w:rFonts w:ascii="BNPP Sans Light" w:hAnsi="BNPP Sans Light"/>
          <w:sz w:val="16"/>
          <w:szCs w:val="16"/>
        </w:rPr>
        <w:footnoteRef/>
      </w:r>
      <w:r w:rsidRPr="00EA04E9">
        <w:rPr>
          <w:rFonts w:ascii="BNPP Sans Light" w:hAnsi="BNPP Sans Light"/>
          <w:sz w:val="16"/>
          <w:szCs w:val="16"/>
          <w:lang w:val="en-GB"/>
        </w:rPr>
        <w:t xml:space="preserve"> The United Nations Statistics Division, formerly the United Nations Statistical Office</w:t>
      </w:r>
      <w:r>
        <w:rPr>
          <w:rFonts w:ascii="BNPP Sans Light" w:hAnsi="BNPP Sans Light"/>
          <w:sz w:val="16"/>
          <w:szCs w:val="16"/>
          <w:lang w:val="en-GB"/>
        </w:rPr>
        <w:t>.</w:t>
      </w:r>
      <w:r w:rsidR="00BA7C8F">
        <w:rPr>
          <w:rFonts w:ascii="BNPP Sans Light" w:hAnsi="BNPP Sans Light"/>
          <w:sz w:val="16"/>
          <w:szCs w:val="16"/>
          <w:lang w:val="en-GB"/>
        </w:rPr>
        <w:t xml:space="preserve"> </w:t>
      </w:r>
      <w:r w:rsidR="00BA7C8F" w:rsidRPr="00BA7C8F">
        <w:rPr>
          <w:rFonts w:ascii="BNPP Sans Light" w:hAnsi="BNPP Sans Light"/>
          <w:sz w:val="16"/>
          <w:szCs w:val="16"/>
          <w:lang w:val="en-GB"/>
        </w:rPr>
        <w:t>The SDG metadata describes the processes to collect, process, or produce statistical data on the SDG indic</w:t>
      </w:r>
      <w:r w:rsidR="000750A3">
        <w:rPr>
          <w:rFonts w:ascii="BNPP Sans Light" w:hAnsi="BNPP Sans Light"/>
          <w:sz w:val="16"/>
          <w:szCs w:val="16"/>
          <w:lang w:val="en-GB"/>
        </w:rPr>
        <w:t xml:space="preserve">ators that underpin the SDG </w:t>
      </w:r>
      <w:r w:rsidR="00BA7C8F" w:rsidRPr="00BA7C8F">
        <w:rPr>
          <w:rFonts w:ascii="BNPP Sans Light" w:hAnsi="BNPP Sans Light"/>
          <w:sz w:val="16"/>
          <w:szCs w:val="16"/>
          <w:lang w:val="en-GB"/>
        </w:rPr>
        <w:t>targets.</w:t>
      </w:r>
    </w:p>
  </w:footnote>
  <w:footnote w:id="4">
    <w:p w14:paraId="1A9500D9" w14:textId="491CC027" w:rsidR="006A128B" w:rsidRPr="00EA04E9" w:rsidRDefault="006A128B">
      <w:pPr>
        <w:pStyle w:val="Funotentext"/>
        <w:rPr>
          <w:rFonts w:ascii="BNPP Sans Light" w:hAnsi="BNPP Sans Light"/>
          <w:sz w:val="16"/>
          <w:szCs w:val="16"/>
          <w:lang w:val="en-GB"/>
        </w:rPr>
      </w:pPr>
      <w:r w:rsidRPr="00EA04E9">
        <w:rPr>
          <w:rStyle w:val="Funotenzeichen"/>
          <w:rFonts w:ascii="BNPP Sans Light" w:hAnsi="BNPP Sans Light"/>
          <w:sz w:val="16"/>
          <w:szCs w:val="16"/>
        </w:rPr>
        <w:footnoteRef/>
      </w:r>
      <w:r w:rsidRPr="00EA04E9">
        <w:rPr>
          <w:rFonts w:ascii="BNPP Sans Light" w:hAnsi="BNPP Sans Light"/>
          <w:sz w:val="16"/>
          <w:szCs w:val="16"/>
          <w:lang w:val="en-GB"/>
        </w:rPr>
        <w:t xml:space="preserve">  Sustainable Finance Disclosure Regulation 2019/2088 of the European Parliament and of the Council of 27 November 2019 on information to be provided on sustainable development in the financial services sector.</w:t>
      </w:r>
    </w:p>
  </w:footnote>
  <w:footnote w:id="5">
    <w:p w14:paraId="7A60DBBB" w14:textId="2E3FA782" w:rsidR="006A128B" w:rsidRPr="00EA04E9" w:rsidRDefault="006A128B">
      <w:pPr>
        <w:pStyle w:val="Funotentext"/>
        <w:rPr>
          <w:rFonts w:ascii="BNPP Sans Light" w:hAnsi="BNPP Sans Light"/>
          <w:sz w:val="16"/>
          <w:szCs w:val="16"/>
          <w:lang w:val="en-GB"/>
        </w:rPr>
      </w:pPr>
      <w:r w:rsidRPr="00EA04E9">
        <w:rPr>
          <w:rStyle w:val="Funotenzeichen"/>
          <w:rFonts w:ascii="BNPP Sans Light" w:hAnsi="BNPP Sans Light"/>
          <w:sz w:val="16"/>
          <w:szCs w:val="16"/>
        </w:rPr>
        <w:footnoteRef/>
      </w:r>
      <w:r w:rsidRPr="00EA04E9">
        <w:rPr>
          <w:rFonts w:ascii="BNPP Sans Light" w:hAnsi="BNPP Sans Light"/>
          <w:sz w:val="16"/>
          <w:szCs w:val="16"/>
          <w:lang w:val="en-GB"/>
        </w:rPr>
        <w:t xml:space="preserve"> Markets in Financial Instruments Directive. MiFID II entered into force on 3 January 2018. MiFID is a legislative framework designed to strengthen investor protection and improve the functioning of financial markets, making them more efficient, resilient and transparent.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C1FF" w14:textId="77777777" w:rsidR="00434EFA" w:rsidRDefault="00434EFA">
    <w:pPr>
      <w:pStyle w:val="Kopfzeile"/>
    </w:pPr>
  </w:p>
  <w:p w14:paraId="6E55B568" w14:textId="10968708" w:rsidR="00495A30" w:rsidRDefault="00495A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58EA" w14:textId="77777777" w:rsidR="00AA60F5" w:rsidRDefault="00AA60F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017E" w14:textId="77777777" w:rsidR="00434EFA" w:rsidRDefault="00434EFA">
    <w:pPr>
      <w:pStyle w:val="Kopfzeile"/>
    </w:pPr>
  </w:p>
  <w:p w14:paraId="2A8DF558" w14:textId="5ABFF13D" w:rsidR="00495A30" w:rsidRDefault="00495A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76D"/>
    <w:multiLevelType w:val="hybridMultilevel"/>
    <w:tmpl w:val="76AC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026C3"/>
    <w:multiLevelType w:val="hybridMultilevel"/>
    <w:tmpl w:val="9A8A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F30BC"/>
    <w:multiLevelType w:val="hybridMultilevel"/>
    <w:tmpl w:val="D28CC5B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39C2935"/>
    <w:multiLevelType w:val="hybridMultilevel"/>
    <w:tmpl w:val="12EC318A"/>
    <w:lvl w:ilvl="0" w:tplc="270697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BF53F8"/>
    <w:multiLevelType w:val="hybridMultilevel"/>
    <w:tmpl w:val="198EE520"/>
    <w:lvl w:ilvl="0" w:tplc="28B284B4">
      <w:start w:val="1"/>
      <w:numFmt w:val="bullet"/>
      <w:lvlText w:val="•"/>
      <w:lvlJc w:val="left"/>
      <w:pPr>
        <w:ind w:left="720" w:hanging="360"/>
      </w:pPr>
      <w:rPr>
        <w:rFonts w:ascii="BNPP Sans Light" w:eastAsiaTheme="minorHAnsi" w:hAnsi="BNPP Sans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D72BC5"/>
    <w:multiLevelType w:val="hybridMultilevel"/>
    <w:tmpl w:val="D76C0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02456"/>
    <w:multiLevelType w:val="hybridMultilevel"/>
    <w:tmpl w:val="6E1E149E"/>
    <w:lvl w:ilvl="0" w:tplc="27069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184814"/>
    <w:multiLevelType w:val="hybridMultilevel"/>
    <w:tmpl w:val="4BA45808"/>
    <w:lvl w:ilvl="0" w:tplc="270697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70687D"/>
    <w:multiLevelType w:val="hybridMultilevel"/>
    <w:tmpl w:val="3A4CFCFA"/>
    <w:lvl w:ilvl="0" w:tplc="77BCD724">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654EAA"/>
    <w:multiLevelType w:val="hybridMultilevel"/>
    <w:tmpl w:val="20F48538"/>
    <w:lvl w:ilvl="0" w:tplc="28B284B4">
      <w:start w:val="1"/>
      <w:numFmt w:val="bullet"/>
      <w:lvlText w:val="•"/>
      <w:lvlJc w:val="left"/>
      <w:pPr>
        <w:ind w:left="720" w:hanging="360"/>
      </w:pPr>
      <w:rPr>
        <w:rFonts w:ascii="BNPP Sans Light" w:eastAsiaTheme="minorHAnsi" w:hAnsi="BNPP Sans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E6B2E"/>
    <w:multiLevelType w:val="hybridMultilevel"/>
    <w:tmpl w:val="66FC2922"/>
    <w:lvl w:ilvl="0" w:tplc="7D349952">
      <w:start w:val="27"/>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D49AE"/>
    <w:multiLevelType w:val="hybridMultilevel"/>
    <w:tmpl w:val="6A500736"/>
    <w:lvl w:ilvl="0" w:tplc="270697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4159CE"/>
    <w:multiLevelType w:val="hybridMultilevel"/>
    <w:tmpl w:val="5FFA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596B02"/>
    <w:multiLevelType w:val="hybridMultilevel"/>
    <w:tmpl w:val="E32CBCBC"/>
    <w:lvl w:ilvl="0" w:tplc="F4864D32">
      <w:numFmt w:val="bullet"/>
      <w:lvlText w:val="•"/>
      <w:lvlJc w:val="left"/>
      <w:pPr>
        <w:ind w:left="720" w:hanging="360"/>
      </w:pPr>
      <w:rPr>
        <w:rFonts w:ascii="BNPP Sans Light" w:eastAsiaTheme="minorHAnsi" w:hAnsi="BNPP Sans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CD3E6E"/>
    <w:multiLevelType w:val="hybridMultilevel"/>
    <w:tmpl w:val="7EE48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E2CFA"/>
    <w:multiLevelType w:val="hybridMultilevel"/>
    <w:tmpl w:val="5FBE8D1E"/>
    <w:lvl w:ilvl="0" w:tplc="270697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E95E01"/>
    <w:multiLevelType w:val="hybridMultilevel"/>
    <w:tmpl w:val="1772D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623B19"/>
    <w:multiLevelType w:val="hybridMultilevel"/>
    <w:tmpl w:val="F9388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D77A15"/>
    <w:multiLevelType w:val="hybridMultilevel"/>
    <w:tmpl w:val="9118F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822106"/>
    <w:multiLevelType w:val="hybridMultilevel"/>
    <w:tmpl w:val="31444298"/>
    <w:lvl w:ilvl="0" w:tplc="28B284B4">
      <w:start w:val="1"/>
      <w:numFmt w:val="bullet"/>
      <w:lvlText w:val="•"/>
      <w:lvlJc w:val="left"/>
      <w:pPr>
        <w:ind w:left="720" w:hanging="360"/>
      </w:pPr>
      <w:rPr>
        <w:rFonts w:ascii="BNPP Sans Light" w:eastAsiaTheme="minorHAnsi" w:hAnsi="BNPP Sans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C2098C"/>
    <w:multiLevelType w:val="hybridMultilevel"/>
    <w:tmpl w:val="D5D61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1B05B1"/>
    <w:multiLevelType w:val="hybridMultilevel"/>
    <w:tmpl w:val="9230B04E"/>
    <w:lvl w:ilvl="0" w:tplc="28B284B4">
      <w:start w:val="1"/>
      <w:numFmt w:val="bullet"/>
      <w:lvlText w:val="•"/>
      <w:lvlJc w:val="left"/>
      <w:pPr>
        <w:ind w:left="720" w:hanging="360"/>
      </w:pPr>
      <w:rPr>
        <w:rFonts w:ascii="BNPP Sans Light" w:eastAsiaTheme="minorHAnsi" w:hAnsi="BNPP Sans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563878"/>
    <w:multiLevelType w:val="hybridMultilevel"/>
    <w:tmpl w:val="135C3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DB0B21"/>
    <w:multiLevelType w:val="hybridMultilevel"/>
    <w:tmpl w:val="96BE6F8C"/>
    <w:lvl w:ilvl="0" w:tplc="3DC05F2C">
      <w:numFmt w:val="bullet"/>
      <w:lvlText w:val="•"/>
      <w:lvlJc w:val="left"/>
      <w:pPr>
        <w:ind w:left="720" w:hanging="360"/>
      </w:pPr>
      <w:rPr>
        <w:rFonts w:ascii="BNPP Sans Light" w:eastAsiaTheme="minorHAnsi" w:hAnsi="BNPP Sans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97259A"/>
    <w:multiLevelType w:val="hybridMultilevel"/>
    <w:tmpl w:val="90548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2234DE"/>
    <w:multiLevelType w:val="hybridMultilevel"/>
    <w:tmpl w:val="4F0845D2"/>
    <w:lvl w:ilvl="0" w:tplc="4B08CB2E">
      <w:numFmt w:val="bullet"/>
      <w:lvlText w:val="-"/>
      <w:lvlJc w:val="left"/>
      <w:pPr>
        <w:ind w:left="720" w:hanging="360"/>
      </w:pPr>
      <w:rPr>
        <w:rFonts w:ascii="BNPP Sans Light" w:eastAsiaTheme="minorHAnsi" w:hAnsi="BNPP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3623F6"/>
    <w:multiLevelType w:val="hybridMultilevel"/>
    <w:tmpl w:val="F4B8DB1E"/>
    <w:lvl w:ilvl="0" w:tplc="E16CAF70">
      <w:numFmt w:val="bullet"/>
      <w:lvlText w:val="•"/>
      <w:lvlJc w:val="left"/>
      <w:pPr>
        <w:ind w:left="720" w:hanging="360"/>
      </w:pPr>
      <w:rPr>
        <w:rFonts w:ascii="BNPP Sans Light" w:eastAsiaTheme="minorHAnsi" w:hAnsi="BNPP Sans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5956707">
    <w:abstractNumId w:val="10"/>
  </w:num>
  <w:num w:numId="2" w16cid:durableId="1908876929">
    <w:abstractNumId w:val="14"/>
  </w:num>
  <w:num w:numId="3" w16cid:durableId="1625117643">
    <w:abstractNumId w:val="1"/>
  </w:num>
  <w:num w:numId="4" w16cid:durableId="437524450">
    <w:abstractNumId w:val="21"/>
  </w:num>
  <w:num w:numId="5" w16cid:durableId="1098718443">
    <w:abstractNumId w:val="19"/>
  </w:num>
  <w:num w:numId="6" w16cid:durableId="1140154405">
    <w:abstractNumId w:val="9"/>
  </w:num>
  <w:num w:numId="7" w16cid:durableId="1533303947">
    <w:abstractNumId w:val="4"/>
  </w:num>
  <w:num w:numId="8" w16cid:durableId="688262277">
    <w:abstractNumId w:val="22"/>
  </w:num>
  <w:num w:numId="9" w16cid:durableId="1141533378">
    <w:abstractNumId w:val="8"/>
  </w:num>
  <w:num w:numId="10" w16cid:durableId="358240244">
    <w:abstractNumId w:val="20"/>
  </w:num>
  <w:num w:numId="11" w16cid:durableId="2065789226">
    <w:abstractNumId w:val="26"/>
  </w:num>
  <w:num w:numId="12" w16cid:durableId="1994404922">
    <w:abstractNumId w:val="17"/>
  </w:num>
  <w:num w:numId="13" w16cid:durableId="969552756">
    <w:abstractNumId w:val="5"/>
  </w:num>
  <w:num w:numId="14" w16cid:durableId="10879430">
    <w:abstractNumId w:val="12"/>
  </w:num>
  <w:num w:numId="15" w16cid:durableId="1418940745">
    <w:abstractNumId w:val="0"/>
  </w:num>
  <w:num w:numId="16" w16cid:durableId="282007952">
    <w:abstractNumId w:val="18"/>
  </w:num>
  <w:num w:numId="17" w16cid:durableId="281038575">
    <w:abstractNumId w:val="24"/>
  </w:num>
  <w:num w:numId="18" w16cid:durableId="674921606">
    <w:abstractNumId w:val="23"/>
  </w:num>
  <w:num w:numId="19" w16cid:durableId="1694303156">
    <w:abstractNumId w:val="16"/>
  </w:num>
  <w:num w:numId="20" w16cid:durableId="1573388759">
    <w:abstractNumId w:val="13"/>
  </w:num>
  <w:num w:numId="21" w16cid:durableId="914514413">
    <w:abstractNumId w:val="2"/>
  </w:num>
  <w:num w:numId="22" w16cid:durableId="1803189538">
    <w:abstractNumId w:val="25"/>
  </w:num>
  <w:num w:numId="23" w16cid:durableId="480734144">
    <w:abstractNumId w:val="3"/>
  </w:num>
  <w:num w:numId="24" w16cid:durableId="862088232">
    <w:abstractNumId w:val="7"/>
  </w:num>
  <w:num w:numId="25" w16cid:durableId="269702540">
    <w:abstractNumId w:val="11"/>
  </w:num>
  <w:num w:numId="26" w16cid:durableId="1865901812">
    <w:abstractNumId w:val="15"/>
  </w:num>
  <w:num w:numId="27" w16cid:durableId="19700169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3C2DF2"/>
    <w:rsid w:val="00000F9C"/>
    <w:rsid w:val="00004FD9"/>
    <w:rsid w:val="00010A45"/>
    <w:rsid w:val="00015A34"/>
    <w:rsid w:val="00021698"/>
    <w:rsid w:val="000222F0"/>
    <w:rsid w:val="00023B72"/>
    <w:rsid w:val="00025000"/>
    <w:rsid w:val="000271DC"/>
    <w:rsid w:val="00031BDD"/>
    <w:rsid w:val="00032329"/>
    <w:rsid w:val="00033D1F"/>
    <w:rsid w:val="00035034"/>
    <w:rsid w:val="00037754"/>
    <w:rsid w:val="00037896"/>
    <w:rsid w:val="000434CE"/>
    <w:rsid w:val="00047BFE"/>
    <w:rsid w:val="00050A92"/>
    <w:rsid w:val="00055B35"/>
    <w:rsid w:val="00057EE7"/>
    <w:rsid w:val="00062B03"/>
    <w:rsid w:val="0006620F"/>
    <w:rsid w:val="00070A79"/>
    <w:rsid w:val="00071ECC"/>
    <w:rsid w:val="000750A3"/>
    <w:rsid w:val="00076688"/>
    <w:rsid w:val="0008106C"/>
    <w:rsid w:val="00094494"/>
    <w:rsid w:val="000A01CF"/>
    <w:rsid w:val="000A5508"/>
    <w:rsid w:val="000A67E2"/>
    <w:rsid w:val="000B26C0"/>
    <w:rsid w:val="000B388E"/>
    <w:rsid w:val="000C1310"/>
    <w:rsid w:val="000C19E1"/>
    <w:rsid w:val="000D5AAA"/>
    <w:rsid w:val="000E14BE"/>
    <w:rsid w:val="000E356D"/>
    <w:rsid w:val="000F4835"/>
    <w:rsid w:val="000F5E61"/>
    <w:rsid w:val="000F6E7E"/>
    <w:rsid w:val="000F7375"/>
    <w:rsid w:val="000F748F"/>
    <w:rsid w:val="001042AB"/>
    <w:rsid w:val="001142B6"/>
    <w:rsid w:val="00117828"/>
    <w:rsid w:val="001245BF"/>
    <w:rsid w:val="0012649B"/>
    <w:rsid w:val="00136A08"/>
    <w:rsid w:val="00137BCF"/>
    <w:rsid w:val="001502E8"/>
    <w:rsid w:val="001560DA"/>
    <w:rsid w:val="001574B5"/>
    <w:rsid w:val="00161CB7"/>
    <w:rsid w:val="00164482"/>
    <w:rsid w:val="0016526A"/>
    <w:rsid w:val="00170B83"/>
    <w:rsid w:val="00170FCF"/>
    <w:rsid w:val="00173383"/>
    <w:rsid w:val="00180F82"/>
    <w:rsid w:val="00186E5A"/>
    <w:rsid w:val="00190B32"/>
    <w:rsid w:val="0019414D"/>
    <w:rsid w:val="001A738B"/>
    <w:rsid w:val="001B0726"/>
    <w:rsid w:val="001B2435"/>
    <w:rsid w:val="001B302D"/>
    <w:rsid w:val="001C1EB2"/>
    <w:rsid w:val="001E2421"/>
    <w:rsid w:val="001E34DB"/>
    <w:rsid w:val="001E44F8"/>
    <w:rsid w:val="001F0216"/>
    <w:rsid w:val="001F10CB"/>
    <w:rsid w:val="001F2047"/>
    <w:rsid w:val="001F254F"/>
    <w:rsid w:val="00200B26"/>
    <w:rsid w:val="00201E79"/>
    <w:rsid w:val="00203A6E"/>
    <w:rsid w:val="00206CAC"/>
    <w:rsid w:val="00206EE4"/>
    <w:rsid w:val="00212EE8"/>
    <w:rsid w:val="00225AC1"/>
    <w:rsid w:val="0023143E"/>
    <w:rsid w:val="00247E3A"/>
    <w:rsid w:val="002503E6"/>
    <w:rsid w:val="0025189B"/>
    <w:rsid w:val="00256C37"/>
    <w:rsid w:val="00257C23"/>
    <w:rsid w:val="00266C20"/>
    <w:rsid w:val="00272603"/>
    <w:rsid w:val="00273C69"/>
    <w:rsid w:val="00274045"/>
    <w:rsid w:val="002747AB"/>
    <w:rsid w:val="002751D2"/>
    <w:rsid w:val="00275374"/>
    <w:rsid w:val="00286B86"/>
    <w:rsid w:val="00286FC4"/>
    <w:rsid w:val="002936C1"/>
    <w:rsid w:val="002A4D9A"/>
    <w:rsid w:val="002A55DD"/>
    <w:rsid w:val="002A658A"/>
    <w:rsid w:val="002B52FF"/>
    <w:rsid w:val="002B6E22"/>
    <w:rsid w:val="002C15E8"/>
    <w:rsid w:val="002C1DD1"/>
    <w:rsid w:val="002C350C"/>
    <w:rsid w:val="002C5D50"/>
    <w:rsid w:val="002C658B"/>
    <w:rsid w:val="002C7DEE"/>
    <w:rsid w:val="002D108D"/>
    <w:rsid w:val="002D7FAC"/>
    <w:rsid w:val="002E3B99"/>
    <w:rsid w:val="002E56C8"/>
    <w:rsid w:val="002E5C9F"/>
    <w:rsid w:val="002E6901"/>
    <w:rsid w:val="002E76B4"/>
    <w:rsid w:val="002F2B90"/>
    <w:rsid w:val="002F760F"/>
    <w:rsid w:val="00300C45"/>
    <w:rsid w:val="003041A4"/>
    <w:rsid w:val="0030632C"/>
    <w:rsid w:val="003123C7"/>
    <w:rsid w:val="00322F22"/>
    <w:rsid w:val="00324811"/>
    <w:rsid w:val="00335A39"/>
    <w:rsid w:val="00336245"/>
    <w:rsid w:val="00351897"/>
    <w:rsid w:val="00351A9A"/>
    <w:rsid w:val="00355DA1"/>
    <w:rsid w:val="0035633B"/>
    <w:rsid w:val="00363F6A"/>
    <w:rsid w:val="00372AA6"/>
    <w:rsid w:val="0037351E"/>
    <w:rsid w:val="00383D03"/>
    <w:rsid w:val="00384299"/>
    <w:rsid w:val="00391E05"/>
    <w:rsid w:val="00396DCA"/>
    <w:rsid w:val="003A0CD7"/>
    <w:rsid w:val="003A107A"/>
    <w:rsid w:val="003A1ACF"/>
    <w:rsid w:val="003A4685"/>
    <w:rsid w:val="003B7533"/>
    <w:rsid w:val="003C2DF2"/>
    <w:rsid w:val="003D2092"/>
    <w:rsid w:val="003D28FC"/>
    <w:rsid w:val="003D5284"/>
    <w:rsid w:val="003E38CD"/>
    <w:rsid w:val="003E5B08"/>
    <w:rsid w:val="003E5D5D"/>
    <w:rsid w:val="003F4C1D"/>
    <w:rsid w:val="003F742C"/>
    <w:rsid w:val="0040134E"/>
    <w:rsid w:val="00402208"/>
    <w:rsid w:val="004145F5"/>
    <w:rsid w:val="00416901"/>
    <w:rsid w:val="00416E50"/>
    <w:rsid w:val="00420E6C"/>
    <w:rsid w:val="00420F80"/>
    <w:rsid w:val="00421228"/>
    <w:rsid w:val="0042340B"/>
    <w:rsid w:val="004272A6"/>
    <w:rsid w:val="00432838"/>
    <w:rsid w:val="00434EFA"/>
    <w:rsid w:val="00436B30"/>
    <w:rsid w:val="004456EA"/>
    <w:rsid w:val="00453AFE"/>
    <w:rsid w:val="00456870"/>
    <w:rsid w:val="00457FD7"/>
    <w:rsid w:val="004668BA"/>
    <w:rsid w:val="00466AD8"/>
    <w:rsid w:val="00467D5A"/>
    <w:rsid w:val="0047047B"/>
    <w:rsid w:val="00472C91"/>
    <w:rsid w:val="00474D87"/>
    <w:rsid w:val="00474F30"/>
    <w:rsid w:val="00476147"/>
    <w:rsid w:val="0048582C"/>
    <w:rsid w:val="0049331D"/>
    <w:rsid w:val="00494CC9"/>
    <w:rsid w:val="00495A30"/>
    <w:rsid w:val="00496CC8"/>
    <w:rsid w:val="00497CC9"/>
    <w:rsid w:val="004A1E62"/>
    <w:rsid w:val="004B0A83"/>
    <w:rsid w:val="004B1372"/>
    <w:rsid w:val="004B3E76"/>
    <w:rsid w:val="004B61EC"/>
    <w:rsid w:val="004C63CB"/>
    <w:rsid w:val="004D4DF6"/>
    <w:rsid w:val="004D5148"/>
    <w:rsid w:val="004D7AF3"/>
    <w:rsid w:val="004E769D"/>
    <w:rsid w:val="004F1AE3"/>
    <w:rsid w:val="004F5556"/>
    <w:rsid w:val="004F794F"/>
    <w:rsid w:val="00502A60"/>
    <w:rsid w:val="00503FD5"/>
    <w:rsid w:val="00505675"/>
    <w:rsid w:val="00513314"/>
    <w:rsid w:val="00513FD5"/>
    <w:rsid w:val="00522951"/>
    <w:rsid w:val="005238BD"/>
    <w:rsid w:val="00525A2D"/>
    <w:rsid w:val="00535B82"/>
    <w:rsid w:val="0054287E"/>
    <w:rsid w:val="00542FA9"/>
    <w:rsid w:val="00545544"/>
    <w:rsid w:val="00545DEA"/>
    <w:rsid w:val="005605C9"/>
    <w:rsid w:val="00560A92"/>
    <w:rsid w:val="00561AFA"/>
    <w:rsid w:val="00561C33"/>
    <w:rsid w:val="00561C3D"/>
    <w:rsid w:val="00563A98"/>
    <w:rsid w:val="00566C33"/>
    <w:rsid w:val="0057048F"/>
    <w:rsid w:val="00572F16"/>
    <w:rsid w:val="00580D3F"/>
    <w:rsid w:val="00583364"/>
    <w:rsid w:val="00586AD5"/>
    <w:rsid w:val="00591DF0"/>
    <w:rsid w:val="00592DF3"/>
    <w:rsid w:val="0059442D"/>
    <w:rsid w:val="005948F4"/>
    <w:rsid w:val="005971C6"/>
    <w:rsid w:val="005A01B5"/>
    <w:rsid w:val="005A442E"/>
    <w:rsid w:val="005A7A57"/>
    <w:rsid w:val="005B2C11"/>
    <w:rsid w:val="005B3E5B"/>
    <w:rsid w:val="005B4A79"/>
    <w:rsid w:val="005B5B38"/>
    <w:rsid w:val="005B5F69"/>
    <w:rsid w:val="005B6E8F"/>
    <w:rsid w:val="005C0601"/>
    <w:rsid w:val="005C18C9"/>
    <w:rsid w:val="005C48F3"/>
    <w:rsid w:val="005C726B"/>
    <w:rsid w:val="005C74AE"/>
    <w:rsid w:val="005E2927"/>
    <w:rsid w:val="005E73F3"/>
    <w:rsid w:val="005F3FE0"/>
    <w:rsid w:val="005F6335"/>
    <w:rsid w:val="0060373C"/>
    <w:rsid w:val="00613610"/>
    <w:rsid w:val="006214FC"/>
    <w:rsid w:val="00624F68"/>
    <w:rsid w:val="00630594"/>
    <w:rsid w:val="00634E93"/>
    <w:rsid w:val="006365FA"/>
    <w:rsid w:val="00644DD5"/>
    <w:rsid w:val="006466C7"/>
    <w:rsid w:val="00646A50"/>
    <w:rsid w:val="00647643"/>
    <w:rsid w:val="00647CA1"/>
    <w:rsid w:val="006556E2"/>
    <w:rsid w:val="00655E94"/>
    <w:rsid w:val="00656EDA"/>
    <w:rsid w:val="006646FD"/>
    <w:rsid w:val="00670D64"/>
    <w:rsid w:val="006730A1"/>
    <w:rsid w:val="00673693"/>
    <w:rsid w:val="00683518"/>
    <w:rsid w:val="00683D0D"/>
    <w:rsid w:val="00683DD7"/>
    <w:rsid w:val="006866D0"/>
    <w:rsid w:val="00686D90"/>
    <w:rsid w:val="0069085A"/>
    <w:rsid w:val="00691240"/>
    <w:rsid w:val="006943D5"/>
    <w:rsid w:val="00697AA7"/>
    <w:rsid w:val="006A128B"/>
    <w:rsid w:val="006A203D"/>
    <w:rsid w:val="006A335A"/>
    <w:rsid w:val="006B1AF6"/>
    <w:rsid w:val="006C12CA"/>
    <w:rsid w:val="006C37BC"/>
    <w:rsid w:val="006C62A7"/>
    <w:rsid w:val="006D22EF"/>
    <w:rsid w:val="006D6FC4"/>
    <w:rsid w:val="006E5BC4"/>
    <w:rsid w:val="006F0D9A"/>
    <w:rsid w:val="006F2DF7"/>
    <w:rsid w:val="006F3589"/>
    <w:rsid w:val="006F4BE2"/>
    <w:rsid w:val="00703118"/>
    <w:rsid w:val="007147CE"/>
    <w:rsid w:val="00717F20"/>
    <w:rsid w:val="00734D89"/>
    <w:rsid w:val="00741F55"/>
    <w:rsid w:val="0075449F"/>
    <w:rsid w:val="00754983"/>
    <w:rsid w:val="007602F7"/>
    <w:rsid w:val="00761C03"/>
    <w:rsid w:val="00763508"/>
    <w:rsid w:val="00764009"/>
    <w:rsid w:val="00771067"/>
    <w:rsid w:val="00772ECA"/>
    <w:rsid w:val="007747C3"/>
    <w:rsid w:val="00774B67"/>
    <w:rsid w:val="00776F33"/>
    <w:rsid w:val="00787AB5"/>
    <w:rsid w:val="007903E3"/>
    <w:rsid w:val="00792D4D"/>
    <w:rsid w:val="007C0BDF"/>
    <w:rsid w:val="007C4ADD"/>
    <w:rsid w:val="007D492B"/>
    <w:rsid w:val="007E2BDA"/>
    <w:rsid w:val="007E30F5"/>
    <w:rsid w:val="007F0BF9"/>
    <w:rsid w:val="007F10A5"/>
    <w:rsid w:val="007F155B"/>
    <w:rsid w:val="00803AFD"/>
    <w:rsid w:val="00810C2E"/>
    <w:rsid w:val="00811A09"/>
    <w:rsid w:val="008212DA"/>
    <w:rsid w:val="008352C6"/>
    <w:rsid w:val="008610B3"/>
    <w:rsid w:val="00864FDA"/>
    <w:rsid w:val="0086591E"/>
    <w:rsid w:val="008679BA"/>
    <w:rsid w:val="0087175A"/>
    <w:rsid w:val="00871FFE"/>
    <w:rsid w:val="00872889"/>
    <w:rsid w:val="00875E8E"/>
    <w:rsid w:val="00886D27"/>
    <w:rsid w:val="00892234"/>
    <w:rsid w:val="008A0F67"/>
    <w:rsid w:val="008A209D"/>
    <w:rsid w:val="008A3729"/>
    <w:rsid w:val="008A6A46"/>
    <w:rsid w:val="008B0ABF"/>
    <w:rsid w:val="008B2539"/>
    <w:rsid w:val="008B61B0"/>
    <w:rsid w:val="008B7F4A"/>
    <w:rsid w:val="008C2C85"/>
    <w:rsid w:val="008C4B39"/>
    <w:rsid w:val="008C4C01"/>
    <w:rsid w:val="008C54BC"/>
    <w:rsid w:val="008C71B5"/>
    <w:rsid w:val="008D4181"/>
    <w:rsid w:val="008E0F20"/>
    <w:rsid w:val="008E2A69"/>
    <w:rsid w:val="008E62B0"/>
    <w:rsid w:val="008F0423"/>
    <w:rsid w:val="008F39A6"/>
    <w:rsid w:val="008F4085"/>
    <w:rsid w:val="008F7442"/>
    <w:rsid w:val="00902BE9"/>
    <w:rsid w:val="00906B22"/>
    <w:rsid w:val="0091105C"/>
    <w:rsid w:val="009179B2"/>
    <w:rsid w:val="00920D2D"/>
    <w:rsid w:val="0092632F"/>
    <w:rsid w:val="00927093"/>
    <w:rsid w:val="009327D5"/>
    <w:rsid w:val="00933413"/>
    <w:rsid w:val="00933AC4"/>
    <w:rsid w:val="00934F06"/>
    <w:rsid w:val="00937E30"/>
    <w:rsid w:val="009413E0"/>
    <w:rsid w:val="0095041D"/>
    <w:rsid w:val="00953F40"/>
    <w:rsid w:val="0095449B"/>
    <w:rsid w:val="009702DA"/>
    <w:rsid w:val="009732BD"/>
    <w:rsid w:val="009746F3"/>
    <w:rsid w:val="00975905"/>
    <w:rsid w:val="0097679A"/>
    <w:rsid w:val="00980803"/>
    <w:rsid w:val="00985BFE"/>
    <w:rsid w:val="009901D7"/>
    <w:rsid w:val="00990552"/>
    <w:rsid w:val="00991878"/>
    <w:rsid w:val="009929F0"/>
    <w:rsid w:val="009A122A"/>
    <w:rsid w:val="009A2DF3"/>
    <w:rsid w:val="009A457B"/>
    <w:rsid w:val="009B2140"/>
    <w:rsid w:val="009B3B54"/>
    <w:rsid w:val="009C0D0B"/>
    <w:rsid w:val="009C1311"/>
    <w:rsid w:val="009C2F06"/>
    <w:rsid w:val="009C6822"/>
    <w:rsid w:val="009C74A8"/>
    <w:rsid w:val="009D0047"/>
    <w:rsid w:val="009D1A99"/>
    <w:rsid w:val="009F1F9D"/>
    <w:rsid w:val="009F3E21"/>
    <w:rsid w:val="00A0647E"/>
    <w:rsid w:val="00A10FF5"/>
    <w:rsid w:val="00A11BA5"/>
    <w:rsid w:val="00A12C1F"/>
    <w:rsid w:val="00A15761"/>
    <w:rsid w:val="00A20525"/>
    <w:rsid w:val="00A217D0"/>
    <w:rsid w:val="00A24F83"/>
    <w:rsid w:val="00A252B7"/>
    <w:rsid w:val="00A306D5"/>
    <w:rsid w:val="00A40BA1"/>
    <w:rsid w:val="00A43BC8"/>
    <w:rsid w:val="00A44086"/>
    <w:rsid w:val="00A5027C"/>
    <w:rsid w:val="00A50D1B"/>
    <w:rsid w:val="00A54F55"/>
    <w:rsid w:val="00A60FBC"/>
    <w:rsid w:val="00A61DC1"/>
    <w:rsid w:val="00A63285"/>
    <w:rsid w:val="00A667A0"/>
    <w:rsid w:val="00A67C04"/>
    <w:rsid w:val="00A718A3"/>
    <w:rsid w:val="00A76979"/>
    <w:rsid w:val="00A83FD5"/>
    <w:rsid w:val="00A84350"/>
    <w:rsid w:val="00A94D8A"/>
    <w:rsid w:val="00AA1D54"/>
    <w:rsid w:val="00AA2B03"/>
    <w:rsid w:val="00AA60F5"/>
    <w:rsid w:val="00AB4294"/>
    <w:rsid w:val="00AB44D7"/>
    <w:rsid w:val="00AB4F19"/>
    <w:rsid w:val="00AB7C35"/>
    <w:rsid w:val="00AB7E20"/>
    <w:rsid w:val="00AC09D7"/>
    <w:rsid w:val="00AC79A7"/>
    <w:rsid w:val="00AD4853"/>
    <w:rsid w:val="00AE07B4"/>
    <w:rsid w:val="00AE2027"/>
    <w:rsid w:val="00AE7F80"/>
    <w:rsid w:val="00B05056"/>
    <w:rsid w:val="00B138C5"/>
    <w:rsid w:val="00B202A9"/>
    <w:rsid w:val="00B21AB4"/>
    <w:rsid w:val="00B222D8"/>
    <w:rsid w:val="00B26D16"/>
    <w:rsid w:val="00B301CD"/>
    <w:rsid w:val="00B40163"/>
    <w:rsid w:val="00B429AC"/>
    <w:rsid w:val="00B4517E"/>
    <w:rsid w:val="00B45959"/>
    <w:rsid w:val="00B56690"/>
    <w:rsid w:val="00B6008F"/>
    <w:rsid w:val="00B7087A"/>
    <w:rsid w:val="00B70EAC"/>
    <w:rsid w:val="00B71F3F"/>
    <w:rsid w:val="00B72572"/>
    <w:rsid w:val="00B731FE"/>
    <w:rsid w:val="00B80021"/>
    <w:rsid w:val="00B831AF"/>
    <w:rsid w:val="00B83450"/>
    <w:rsid w:val="00B93322"/>
    <w:rsid w:val="00B937CD"/>
    <w:rsid w:val="00B946F2"/>
    <w:rsid w:val="00BA3509"/>
    <w:rsid w:val="00BA7C8F"/>
    <w:rsid w:val="00BB06D6"/>
    <w:rsid w:val="00BB14C0"/>
    <w:rsid w:val="00BB28DF"/>
    <w:rsid w:val="00BB6283"/>
    <w:rsid w:val="00BC1F5F"/>
    <w:rsid w:val="00BC3525"/>
    <w:rsid w:val="00BC3878"/>
    <w:rsid w:val="00BD24E5"/>
    <w:rsid w:val="00BD3575"/>
    <w:rsid w:val="00BD7BAA"/>
    <w:rsid w:val="00BE100E"/>
    <w:rsid w:val="00BE29C3"/>
    <w:rsid w:val="00BE55F6"/>
    <w:rsid w:val="00BE5F20"/>
    <w:rsid w:val="00BE76A4"/>
    <w:rsid w:val="00BF17C1"/>
    <w:rsid w:val="00BF2D68"/>
    <w:rsid w:val="00BF5892"/>
    <w:rsid w:val="00BF5E96"/>
    <w:rsid w:val="00C05DE1"/>
    <w:rsid w:val="00C11B89"/>
    <w:rsid w:val="00C16BC1"/>
    <w:rsid w:val="00C20A5E"/>
    <w:rsid w:val="00C20C6D"/>
    <w:rsid w:val="00C26431"/>
    <w:rsid w:val="00C2701E"/>
    <w:rsid w:val="00C521A3"/>
    <w:rsid w:val="00C5387C"/>
    <w:rsid w:val="00C55CA5"/>
    <w:rsid w:val="00C61D81"/>
    <w:rsid w:val="00C65575"/>
    <w:rsid w:val="00C82036"/>
    <w:rsid w:val="00C82D18"/>
    <w:rsid w:val="00C853BB"/>
    <w:rsid w:val="00C853E7"/>
    <w:rsid w:val="00C913D4"/>
    <w:rsid w:val="00C91FE0"/>
    <w:rsid w:val="00C925EA"/>
    <w:rsid w:val="00CA5C8E"/>
    <w:rsid w:val="00CA710A"/>
    <w:rsid w:val="00CA7CC3"/>
    <w:rsid w:val="00CB030D"/>
    <w:rsid w:val="00CB3232"/>
    <w:rsid w:val="00CB4ABB"/>
    <w:rsid w:val="00CC0A7A"/>
    <w:rsid w:val="00CC150E"/>
    <w:rsid w:val="00CC4948"/>
    <w:rsid w:val="00CC696A"/>
    <w:rsid w:val="00CD3131"/>
    <w:rsid w:val="00CD3A26"/>
    <w:rsid w:val="00CE33EB"/>
    <w:rsid w:val="00CE3459"/>
    <w:rsid w:val="00CF05B2"/>
    <w:rsid w:val="00CF0FC9"/>
    <w:rsid w:val="00CF2C52"/>
    <w:rsid w:val="00CF6CBB"/>
    <w:rsid w:val="00D01235"/>
    <w:rsid w:val="00D02E5B"/>
    <w:rsid w:val="00D04C61"/>
    <w:rsid w:val="00D061B6"/>
    <w:rsid w:val="00D061FA"/>
    <w:rsid w:val="00D06362"/>
    <w:rsid w:val="00D076AD"/>
    <w:rsid w:val="00D26BAF"/>
    <w:rsid w:val="00D26FFD"/>
    <w:rsid w:val="00D33A18"/>
    <w:rsid w:val="00D46008"/>
    <w:rsid w:val="00D54116"/>
    <w:rsid w:val="00D605EF"/>
    <w:rsid w:val="00D6080E"/>
    <w:rsid w:val="00D619D7"/>
    <w:rsid w:val="00D7146B"/>
    <w:rsid w:val="00D72561"/>
    <w:rsid w:val="00D72B8D"/>
    <w:rsid w:val="00D7658A"/>
    <w:rsid w:val="00D81087"/>
    <w:rsid w:val="00D810F9"/>
    <w:rsid w:val="00D84145"/>
    <w:rsid w:val="00D91726"/>
    <w:rsid w:val="00D94255"/>
    <w:rsid w:val="00D957E2"/>
    <w:rsid w:val="00DA02CB"/>
    <w:rsid w:val="00DA10A2"/>
    <w:rsid w:val="00DA1E72"/>
    <w:rsid w:val="00DA5BE2"/>
    <w:rsid w:val="00DC1403"/>
    <w:rsid w:val="00DC5A32"/>
    <w:rsid w:val="00DC7064"/>
    <w:rsid w:val="00DD3CB4"/>
    <w:rsid w:val="00DD55BD"/>
    <w:rsid w:val="00DD73D4"/>
    <w:rsid w:val="00DF269F"/>
    <w:rsid w:val="00DF27A2"/>
    <w:rsid w:val="00DF7451"/>
    <w:rsid w:val="00E10FE4"/>
    <w:rsid w:val="00E12FFA"/>
    <w:rsid w:val="00E140BA"/>
    <w:rsid w:val="00E32140"/>
    <w:rsid w:val="00E347C0"/>
    <w:rsid w:val="00E37B92"/>
    <w:rsid w:val="00E40AF6"/>
    <w:rsid w:val="00E42355"/>
    <w:rsid w:val="00E45877"/>
    <w:rsid w:val="00E45BBF"/>
    <w:rsid w:val="00E47637"/>
    <w:rsid w:val="00E50B17"/>
    <w:rsid w:val="00E5268C"/>
    <w:rsid w:val="00E56D4B"/>
    <w:rsid w:val="00E573AF"/>
    <w:rsid w:val="00E6126D"/>
    <w:rsid w:val="00E65982"/>
    <w:rsid w:val="00E725E1"/>
    <w:rsid w:val="00E75283"/>
    <w:rsid w:val="00E839E8"/>
    <w:rsid w:val="00E8544F"/>
    <w:rsid w:val="00E87750"/>
    <w:rsid w:val="00E9029A"/>
    <w:rsid w:val="00EA04E9"/>
    <w:rsid w:val="00EA5291"/>
    <w:rsid w:val="00EA6183"/>
    <w:rsid w:val="00EA7D0F"/>
    <w:rsid w:val="00EB25B7"/>
    <w:rsid w:val="00EB5C38"/>
    <w:rsid w:val="00EC06D4"/>
    <w:rsid w:val="00EC1C1F"/>
    <w:rsid w:val="00EC29BC"/>
    <w:rsid w:val="00EC3398"/>
    <w:rsid w:val="00EC48C3"/>
    <w:rsid w:val="00EC6910"/>
    <w:rsid w:val="00ED0962"/>
    <w:rsid w:val="00ED1C50"/>
    <w:rsid w:val="00EE1463"/>
    <w:rsid w:val="00EE33E8"/>
    <w:rsid w:val="00EE6A4C"/>
    <w:rsid w:val="00EE777E"/>
    <w:rsid w:val="00EF2891"/>
    <w:rsid w:val="00EF3BE4"/>
    <w:rsid w:val="00F0306A"/>
    <w:rsid w:val="00F0642F"/>
    <w:rsid w:val="00F136EF"/>
    <w:rsid w:val="00F31E20"/>
    <w:rsid w:val="00F321A3"/>
    <w:rsid w:val="00F51173"/>
    <w:rsid w:val="00F52401"/>
    <w:rsid w:val="00F56D57"/>
    <w:rsid w:val="00F61E4F"/>
    <w:rsid w:val="00F64F1E"/>
    <w:rsid w:val="00F654E2"/>
    <w:rsid w:val="00F67F61"/>
    <w:rsid w:val="00F7624D"/>
    <w:rsid w:val="00F77472"/>
    <w:rsid w:val="00F8050B"/>
    <w:rsid w:val="00F85EA2"/>
    <w:rsid w:val="00F86C79"/>
    <w:rsid w:val="00F908B8"/>
    <w:rsid w:val="00F91B3D"/>
    <w:rsid w:val="00F92A7D"/>
    <w:rsid w:val="00F93ABA"/>
    <w:rsid w:val="00F97626"/>
    <w:rsid w:val="00FA0967"/>
    <w:rsid w:val="00FA1A6E"/>
    <w:rsid w:val="00FA27E5"/>
    <w:rsid w:val="00FA35D2"/>
    <w:rsid w:val="00FA47D4"/>
    <w:rsid w:val="00FA5C6C"/>
    <w:rsid w:val="00FA685F"/>
    <w:rsid w:val="00FB05F9"/>
    <w:rsid w:val="00FB1CDE"/>
    <w:rsid w:val="00FB2DF6"/>
    <w:rsid w:val="00FB445C"/>
    <w:rsid w:val="00FC17A3"/>
    <w:rsid w:val="00FD5885"/>
    <w:rsid w:val="00FE1BDD"/>
    <w:rsid w:val="00FF4177"/>
    <w:rsid w:val="00FF464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FBB86ED"/>
  <w15:docId w15:val="{7FB4397E-DD1D-4C84-8308-46DF1CA7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4C01"/>
    <w:pPr>
      <w:spacing w:line="264" w:lineRule="auto"/>
      <w:jc w:val="both"/>
    </w:pPr>
    <w:rPr>
      <w:rFonts w:asciiTheme="minorHAnsi" w:hAnsiTheme="minorHAnsi"/>
      <w:sz w:val="24"/>
    </w:rPr>
  </w:style>
  <w:style w:type="paragraph" w:styleId="berschrift1">
    <w:name w:val="heading 1"/>
    <w:basedOn w:val="Standard"/>
    <w:next w:val="Standard"/>
    <w:link w:val="berschrift1Zchn"/>
    <w:uiPriority w:val="9"/>
    <w:qFormat/>
    <w:rsid w:val="00D54116"/>
    <w:pPr>
      <w:keepNext/>
      <w:keepLines/>
      <w:spacing w:before="480"/>
      <w:outlineLvl w:val="0"/>
    </w:pPr>
    <w:rPr>
      <w:rFonts w:asciiTheme="majorHAnsi" w:eastAsiaTheme="majorEastAsia" w:hAnsiTheme="majorHAnsi" w:cstheme="majorBidi"/>
      <w:b/>
      <w:bCs/>
      <w:color w:val="00A76C" w:themeColor="accent6"/>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54116"/>
    <w:rPr>
      <w:color w:val="00A76C" w:themeColor="accent6"/>
      <w:u w:val="none"/>
    </w:rPr>
  </w:style>
  <w:style w:type="character" w:customStyle="1" w:styleId="berschrift1Zchn">
    <w:name w:val="Überschrift 1 Zchn"/>
    <w:basedOn w:val="Absatz-Standardschriftart"/>
    <w:link w:val="berschrift1"/>
    <w:uiPriority w:val="9"/>
    <w:rsid w:val="00D54116"/>
    <w:rPr>
      <w:rFonts w:asciiTheme="majorHAnsi" w:eastAsiaTheme="majorEastAsia" w:hAnsiTheme="majorHAnsi" w:cstheme="majorBidi"/>
      <w:b/>
      <w:bCs/>
      <w:color w:val="00A76C" w:themeColor="accent6"/>
      <w:sz w:val="28"/>
      <w:szCs w:val="28"/>
    </w:rPr>
  </w:style>
  <w:style w:type="paragraph" w:styleId="Fuzeile">
    <w:name w:val="footer"/>
    <w:basedOn w:val="Standard"/>
    <w:link w:val="FuzeileZchn"/>
    <w:uiPriority w:val="99"/>
    <w:unhideWhenUsed/>
    <w:rsid w:val="00E839E8"/>
    <w:pPr>
      <w:tabs>
        <w:tab w:val="center" w:pos="4536"/>
        <w:tab w:val="right" w:pos="9072"/>
      </w:tabs>
    </w:pPr>
    <w:rPr>
      <w:sz w:val="12"/>
    </w:rPr>
  </w:style>
  <w:style w:type="character" w:customStyle="1" w:styleId="FuzeileZchn">
    <w:name w:val="Fußzeile Zchn"/>
    <w:basedOn w:val="Absatz-Standardschriftart"/>
    <w:link w:val="Fuzeile"/>
    <w:uiPriority w:val="99"/>
    <w:rsid w:val="00E839E8"/>
    <w:rPr>
      <w:rFonts w:asciiTheme="minorHAnsi" w:hAnsiTheme="minorHAnsi"/>
      <w:sz w:val="12"/>
    </w:rPr>
  </w:style>
  <w:style w:type="paragraph" w:customStyle="1" w:styleId="Pied-mentions-G">
    <w:name w:val="Pied-mentions-G"/>
    <w:basedOn w:val="Fuzeile"/>
    <w:qFormat/>
    <w:rsid w:val="002C15E8"/>
    <w:pPr>
      <w:tabs>
        <w:tab w:val="clear" w:pos="4536"/>
        <w:tab w:val="clear" w:pos="9072"/>
        <w:tab w:val="center" w:pos="5245"/>
        <w:tab w:val="right" w:pos="10632"/>
      </w:tabs>
    </w:pPr>
    <w:rPr>
      <w:sz w:val="16"/>
      <w:szCs w:val="16"/>
    </w:rPr>
  </w:style>
  <w:style w:type="paragraph" w:customStyle="1" w:styleId="Pied-mentions-M">
    <w:name w:val="Pied-mentions-M"/>
    <w:basedOn w:val="Fuzeile"/>
    <w:qFormat/>
    <w:rsid w:val="002C15E8"/>
    <w:pPr>
      <w:tabs>
        <w:tab w:val="clear" w:pos="4536"/>
        <w:tab w:val="clear" w:pos="9072"/>
        <w:tab w:val="center" w:pos="5245"/>
        <w:tab w:val="right" w:pos="10632"/>
      </w:tabs>
      <w:jc w:val="center"/>
    </w:pPr>
    <w:rPr>
      <w:color w:val="939598" w:themeColor="text2"/>
      <w:sz w:val="16"/>
      <w:szCs w:val="16"/>
    </w:rPr>
  </w:style>
  <w:style w:type="paragraph" w:styleId="Titel">
    <w:name w:val="Title"/>
    <w:basedOn w:val="Standard"/>
    <w:next w:val="Standard"/>
    <w:link w:val="TitelZchn"/>
    <w:uiPriority w:val="10"/>
    <w:qFormat/>
    <w:rsid w:val="008C4C01"/>
    <w:pPr>
      <w:spacing w:before="720" w:after="720" w:line="216" w:lineRule="auto"/>
      <w:contextualSpacing/>
      <w:jc w:val="left"/>
    </w:pPr>
    <w:rPr>
      <w:rFonts w:asciiTheme="majorHAnsi" w:eastAsiaTheme="majorEastAsia" w:hAnsiTheme="majorHAnsi" w:cstheme="majorBidi"/>
      <w:b/>
      <w:caps/>
      <w:spacing w:val="5"/>
      <w:kern w:val="28"/>
      <w:sz w:val="64"/>
      <w:szCs w:val="52"/>
    </w:rPr>
  </w:style>
  <w:style w:type="paragraph" w:styleId="Untertitel">
    <w:name w:val="Subtitle"/>
    <w:basedOn w:val="Standard"/>
    <w:next w:val="Standard"/>
    <w:link w:val="UntertitelZchn"/>
    <w:uiPriority w:val="11"/>
    <w:qFormat/>
    <w:rsid w:val="00991878"/>
    <w:pPr>
      <w:jc w:val="center"/>
    </w:pPr>
    <w:rPr>
      <w:b/>
      <w:caps/>
      <w:noProof/>
      <w:color w:val="FFFFFF" w:themeColor="background1"/>
      <w:szCs w:val="16"/>
      <w:lang w:eastAsia="fr-FR"/>
    </w:rPr>
  </w:style>
  <w:style w:type="character" w:customStyle="1" w:styleId="UntertitelZchn">
    <w:name w:val="Untertitel Zchn"/>
    <w:basedOn w:val="Absatz-Standardschriftart"/>
    <w:link w:val="Untertitel"/>
    <w:uiPriority w:val="11"/>
    <w:rsid w:val="00991878"/>
    <w:rPr>
      <w:rFonts w:asciiTheme="minorHAnsi" w:hAnsiTheme="minorHAnsi"/>
      <w:b/>
      <w:caps/>
      <w:noProof/>
      <w:color w:val="FFFFFF" w:themeColor="background1"/>
      <w:sz w:val="24"/>
      <w:szCs w:val="16"/>
      <w:lang w:eastAsia="fr-FR"/>
    </w:rPr>
  </w:style>
  <w:style w:type="paragraph" w:styleId="Kopfzeile">
    <w:name w:val="header"/>
    <w:basedOn w:val="Standard"/>
    <w:link w:val="KopfzeileZchn"/>
    <w:uiPriority w:val="99"/>
    <w:unhideWhenUsed/>
    <w:rsid w:val="00161CB7"/>
    <w:pPr>
      <w:tabs>
        <w:tab w:val="center" w:pos="4536"/>
        <w:tab w:val="right" w:pos="9072"/>
      </w:tabs>
    </w:pPr>
  </w:style>
  <w:style w:type="character" w:customStyle="1" w:styleId="KopfzeileZchn">
    <w:name w:val="Kopfzeile Zchn"/>
    <w:basedOn w:val="Absatz-Standardschriftart"/>
    <w:link w:val="Kopfzeile"/>
    <w:uiPriority w:val="99"/>
    <w:rsid w:val="00161CB7"/>
    <w:rPr>
      <w:rFonts w:asciiTheme="minorHAnsi" w:hAnsiTheme="minorHAnsi"/>
    </w:rPr>
  </w:style>
  <w:style w:type="paragraph" w:styleId="Sprechblasentext">
    <w:name w:val="Balloon Text"/>
    <w:basedOn w:val="Standard"/>
    <w:link w:val="SprechblasentextZchn"/>
    <w:uiPriority w:val="99"/>
    <w:semiHidden/>
    <w:unhideWhenUsed/>
    <w:rsid w:val="0033624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6245"/>
    <w:rPr>
      <w:rFonts w:ascii="Tahoma" w:hAnsi="Tahoma" w:cs="Tahoma"/>
      <w:sz w:val="16"/>
      <w:szCs w:val="16"/>
    </w:rPr>
  </w:style>
  <w:style w:type="character" w:customStyle="1" w:styleId="TitelZchn">
    <w:name w:val="Titel Zchn"/>
    <w:basedOn w:val="Absatz-Standardschriftart"/>
    <w:link w:val="Titel"/>
    <w:uiPriority w:val="10"/>
    <w:rsid w:val="008C4C01"/>
    <w:rPr>
      <w:rFonts w:asciiTheme="majorHAnsi" w:eastAsiaTheme="majorEastAsia" w:hAnsiTheme="majorHAnsi" w:cstheme="majorBidi"/>
      <w:b/>
      <w:caps/>
      <w:spacing w:val="5"/>
      <w:kern w:val="28"/>
      <w:sz w:val="64"/>
      <w:szCs w:val="52"/>
    </w:rPr>
  </w:style>
  <w:style w:type="paragraph" w:customStyle="1" w:styleId="Default">
    <w:name w:val="Default"/>
    <w:rsid w:val="00D26BAF"/>
    <w:pPr>
      <w:autoSpaceDE w:val="0"/>
      <w:autoSpaceDN w:val="0"/>
      <w:adjustRightInd w:val="0"/>
    </w:pPr>
    <w:rPr>
      <w:rFonts w:ascii="Arial" w:eastAsiaTheme="minorEastAsia" w:hAnsi="Arial" w:cs="Arial"/>
      <w:color w:val="000000"/>
      <w:sz w:val="24"/>
      <w:szCs w:val="24"/>
      <w:lang w:eastAsia="ja-JP"/>
    </w:rPr>
  </w:style>
  <w:style w:type="paragraph" w:styleId="Funotentext">
    <w:name w:val="footnote text"/>
    <w:basedOn w:val="Standard"/>
    <w:link w:val="FunotentextZchn"/>
    <w:uiPriority w:val="99"/>
    <w:semiHidden/>
    <w:unhideWhenUsed/>
    <w:rsid w:val="00D72B8D"/>
    <w:pPr>
      <w:spacing w:line="240" w:lineRule="auto"/>
    </w:pPr>
    <w:rPr>
      <w:sz w:val="20"/>
    </w:rPr>
  </w:style>
  <w:style w:type="character" w:customStyle="1" w:styleId="FunotentextZchn">
    <w:name w:val="Fußnotentext Zchn"/>
    <w:basedOn w:val="Absatz-Standardschriftart"/>
    <w:link w:val="Funotentext"/>
    <w:uiPriority w:val="99"/>
    <w:semiHidden/>
    <w:rsid w:val="00D72B8D"/>
    <w:rPr>
      <w:rFonts w:asciiTheme="minorHAnsi" w:hAnsiTheme="minorHAnsi"/>
    </w:rPr>
  </w:style>
  <w:style w:type="character" w:styleId="Funotenzeichen">
    <w:name w:val="footnote reference"/>
    <w:basedOn w:val="Absatz-Standardschriftart"/>
    <w:uiPriority w:val="99"/>
    <w:semiHidden/>
    <w:unhideWhenUsed/>
    <w:rsid w:val="00D72B8D"/>
    <w:rPr>
      <w:vertAlign w:val="superscript"/>
    </w:rPr>
  </w:style>
  <w:style w:type="character" w:styleId="Kommentarzeichen">
    <w:name w:val="annotation reference"/>
    <w:basedOn w:val="Absatz-Standardschriftart"/>
    <w:uiPriority w:val="99"/>
    <w:semiHidden/>
    <w:unhideWhenUsed/>
    <w:rsid w:val="00FD5885"/>
    <w:rPr>
      <w:sz w:val="16"/>
      <w:szCs w:val="16"/>
    </w:rPr>
  </w:style>
  <w:style w:type="paragraph" w:styleId="Kommentartext">
    <w:name w:val="annotation text"/>
    <w:basedOn w:val="Standard"/>
    <w:link w:val="KommentartextZchn"/>
    <w:uiPriority w:val="99"/>
    <w:semiHidden/>
    <w:unhideWhenUsed/>
    <w:rsid w:val="00FD5885"/>
    <w:pPr>
      <w:spacing w:line="240" w:lineRule="auto"/>
    </w:pPr>
    <w:rPr>
      <w:sz w:val="20"/>
    </w:rPr>
  </w:style>
  <w:style w:type="character" w:customStyle="1" w:styleId="KommentartextZchn">
    <w:name w:val="Kommentartext Zchn"/>
    <w:basedOn w:val="Absatz-Standardschriftart"/>
    <w:link w:val="Kommentartext"/>
    <w:uiPriority w:val="99"/>
    <w:semiHidden/>
    <w:rsid w:val="00FD5885"/>
    <w:rPr>
      <w:rFonts w:asciiTheme="minorHAnsi" w:hAnsiTheme="minorHAnsi"/>
    </w:rPr>
  </w:style>
  <w:style w:type="paragraph" w:styleId="Kommentarthema">
    <w:name w:val="annotation subject"/>
    <w:basedOn w:val="Kommentartext"/>
    <w:next w:val="Kommentartext"/>
    <w:link w:val="KommentarthemaZchn"/>
    <w:uiPriority w:val="99"/>
    <w:semiHidden/>
    <w:unhideWhenUsed/>
    <w:rsid w:val="00FD5885"/>
    <w:rPr>
      <w:b/>
      <w:bCs/>
    </w:rPr>
  </w:style>
  <w:style w:type="character" w:customStyle="1" w:styleId="KommentarthemaZchn">
    <w:name w:val="Kommentarthema Zchn"/>
    <w:basedOn w:val="KommentartextZchn"/>
    <w:link w:val="Kommentarthema"/>
    <w:uiPriority w:val="99"/>
    <w:semiHidden/>
    <w:rsid w:val="00FD5885"/>
    <w:rPr>
      <w:rFonts w:asciiTheme="minorHAnsi" w:hAnsiTheme="minorHAnsi"/>
      <w:b/>
      <w:bCs/>
    </w:rPr>
  </w:style>
  <w:style w:type="paragraph" w:styleId="KeinLeerraum">
    <w:name w:val="No Spacing"/>
    <w:uiPriority w:val="1"/>
    <w:qFormat/>
    <w:rsid w:val="00117828"/>
    <w:rPr>
      <w:rFonts w:asciiTheme="minorHAnsi" w:eastAsiaTheme="minorEastAsia" w:hAnsiTheme="minorHAnsi" w:cstheme="minorBidi"/>
      <w:sz w:val="22"/>
      <w:szCs w:val="22"/>
      <w:lang w:eastAsia="ja-JP"/>
    </w:rPr>
  </w:style>
  <w:style w:type="paragraph" w:customStyle="1" w:styleId="BNPPAMRFPTableTextLeft">
    <w:name w:val="+BNPP AM_RFP Table Text_Left"/>
    <w:qFormat/>
    <w:rsid w:val="00117828"/>
    <w:pPr>
      <w:spacing w:before="40" w:after="40"/>
    </w:pPr>
    <w:rPr>
      <w:rFonts w:ascii="Arial" w:eastAsia="Times New Roman" w:hAnsi="Arial" w:cs="Arial"/>
      <w:sz w:val="21"/>
      <w:szCs w:val="24"/>
      <w:lang w:val="en-GB" w:eastAsia="fr-FR"/>
    </w:rPr>
  </w:style>
  <w:style w:type="table" w:styleId="Tabellenraster">
    <w:name w:val="Table Grid"/>
    <w:basedOn w:val="NormaleTabelle"/>
    <w:uiPriority w:val="59"/>
    <w:rsid w:val="00F97626"/>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CE33EB"/>
    <w:rPr>
      <w:color w:val="3C9146" w:themeColor="followedHyperlink"/>
      <w:u w:val="single"/>
    </w:rPr>
  </w:style>
  <w:style w:type="paragraph" w:styleId="berarbeitung">
    <w:name w:val="Revision"/>
    <w:hidden/>
    <w:uiPriority w:val="99"/>
    <w:semiHidden/>
    <w:rsid w:val="00B05056"/>
    <w:rPr>
      <w:rFonts w:asciiTheme="minorHAnsi" w:hAnsiTheme="minorHAnsi"/>
      <w:sz w:val="24"/>
    </w:rPr>
  </w:style>
  <w:style w:type="paragraph" w:styleId="StandardWeb">
    <w:name w:val="Normal (Web)"/>
    <w:basedOn w:val="Standard"/>
    <w:uiPriority w:val="99"/>
    <w:semiHidden/>
    <w:unhideWhenUsed/>
    <w:rsid w:val="00420F80"/>
    <w:pPr>
      <w:spacing w:before="100" w:beforeAutospacing="1" w:after="100" w:afterAutospacing="1" w:line="240" w:lineRule="auto"/>
      <w:jc w:val="left"/>
    </w:pPr>
    <w:rPr>
      <w:rFonts w:ascii="Times New Roman" w:eastAsia="Times New Roman" w:hAnsi="Times New Roman"/>
      <w:szCs w:val="24"/>
      <w:lang w:eastAsia="fr-FR"/>
    </w:rPr>
  </w:style>
  <w:style w:type="character" w:styleId="Fett">
    <w:name w:val="Strong"/>
    <w:basedOn w:val="Absatz-Standardschriftart"/>
    <w:uiPriority w:val="22"/>
    <w:qFormat/>
    <w:rsid w:val="00420F80"/>
    <w:rPr>
      <w:b/>
      <w:bCs/>
    </w:rPr>
  </w:style>
  <w:style w:type="character" w:styleId="Hervorhebung">
    <w:name w:val="Emphasis"/>
    <w:basedOn w:val="Absatz-Standardschriftart"/>
    <w:uiPriority w:val="20"/>
    <w:qFormat/>
    <w:rsid w:val="00A76979"/>
    <w:rPr>
      <w:i/>
      <w:iCs/>
    </w:rPr>
  </w:style>
  <w:style w:type="paragraph" w:styleId="Listenabsatz">
    <w:name w:val="List Paragraph"/>
    <w:aliases w:val="Numbered List,RUS List,Bullet 2,Bullet List,FooterText,numbered,List Paragraph1,Paragraphe de liste1,Bulletr List Paragraph,列出段落,列出段落1,List Paragraph2,List Paragraph21,Listeafsnit1,Parágrafo da Lista1,Párrafo de lista1,リスト段落1,?,L_4"/>
    <w:basedOn w:val="Standard"/>
    <w:link w:val="ListenabsatzZchn"/>
    <w:uiPriority w:val="34"/>
    <w:qFormat/>
    <w:rsid w:val="005A442E"/>
    <w:pPr>
      <w:ind w:left="720"/>
      <w:contextualSpacing/>
    </w:pPr>
  </w:style>
  <w:style w:type="character" w:customStyle="1" w:styleId="ListenabsatzZchn">
    <w:name w:val="Listenabsatz Zchn"/>
    <w:aliases w:val="Numbered List Zchn,RUS List Zchn,Bullet 2 Zchn,Bullet List Zchn,FooterText Zchn,numbered Zchn,List Paragraph1 Zchn,Paragraphe de liste1 Zchn,Bulletr List Paragraph Zchn,列出段落 Zchn,列出段落1 Zchn,List Paragraph2 Zchn,List Paragraph21 Zchn"/>
    <w:basedOn w:val="Absatz-Standardschriftart"/>
    <w:link w:val="Listenabsatz"/>
    <w:uiPriority w:val="34"/>
    <w:rsid w:val="0095041D"/>
    <w:rPr>
      <w:rFonts w:asciiTheme="minorHAnsi" w:hAnsiTheme="minorHAnsi"/>
      <w:sz w:val="24"/>
    </w:rPr>
  </w:style>
  <w:style w:type="character" w:customStyle="1" w:styleId="NichtaufgelsteErwhnung1">
    <w:name w:val="Nicht aufgelöste Erwähnung1"/>
    <w:basedOn w:val="Absatz-Standardschriftart"/>
    <w:uiPriority w:val="99"/>
    <w:semiHidden/>
    <w:unhideWhenUsed/>
    <w:rsid w:val="00655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61127">
      <w:bodyDiv w:val="1"/>
      <w:marLeft w:val="0"/>
      <w:marRight w:val="0"/>
      <w:marTop w:val="0"/>
      <w:marBottom w:val="0"/>
      <w:divBdr>
        <w:top w:val="none" w:sz="0" w:space="0" w:color="auto"/>
        <w:left w:val="none" w:sz="0" w:space="0" w:color="auto"/>
        <w:bottom w:val="none" w:sz="0" w:space="0" w:color="auto"/>
        <w:right w:val="none" w:sz="0" w:space="0" w:color="auto"/>
      </w:divBdr>
    </w:div>
    <w:div w:id="191502925">
      <w:bodyDiv w:val="1"/>
      <w:marLeft w:val="0"/>
      <w:marRight w:val="0"/>
      <w:marTop w:val="0"/>
      <w:marBottom w:val="0"/>
      <w:divBdr>
        <w:top w:val="none" w:sz="0" w:space="0" w:color="auto"/>
        <w:left w:val="none" w:sz="0" w:space="0" w:color="auto"/>
        <w:bottom w:val="none" w:sz="0" w:space="0" w:color="auto"/>
        <w:right w:val="none" w:sz="0" w:space="0" w:color="auto"/>
      </w:divBdr>
    </w:div>
    <w:div w:id="507061014">
      <w:bodyDiv w:val="1"/>
      <w:marLeft w:val="0"/>
      <w:marRight w:val="0"/>
      <w:marTop w:val="0"/>
      <w:marBottom w:val="0"/>
      <w:divBdr>
        <w:top w:val="none" w:sz="0" w:space="0" w:color="auto"/>
        <w:left w:val="none" w:sz="0" w:space="0" w:color="auto"/>
        <w:bottom w:val="none" w:sz="0" w:space="0" w:color="auto"/>
        <w:right w:val="none" w:sz="0" w:space="0" w:color="auto"/>
      </w:divBdr>
    </w:div>
    <w:div w:id="807554004">
      <w:bodyDiv w:val="1"/>
      <w:marLeft w:val="0"/>
      <w:marRight w:val="0"/>
      <w:marTop w:val="0"/>
      <w:marBottom w:val="0"/>
      <w:divBdr>
        <w:top w:val="none" w:sz="0" w:space="0" w:color="auto"/>
        <w:left w:val="none" w:sz="0" w:space="0" w:color="auto"/>
        <w:bottom w:val="none" w:sz="0" w:space="0" w:color="auto"/>
        <w:right w:val="none" w:sz="0" w:space="0" w:color="auto"/>
      </w:divBdr>
    </w:div>
    <w:div w:id="8736902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544">
          <w:marLeft w:val="-240"/>
          <w:marRight w:val="-240"/>
          <w:marTop w:val="0"/>
          <w:marBottom w:val="0"/>
          <w:divBdr>
            <w:top w:val="none" w:sz="0" w:space="0" w:color="auto"/>
            <w:left w:val="none" w:sz="0" w:space="0" w:color="auto"/>
            <w:bottom w:val="none" w:sz="0" w:space="0" w:color="auto"/>
            <w:right w:val="none" w:sz="0" w:space="0" w:color="auto"/>
          </w:divBdr>
          <w:divsChild>
            <w:div w:id="100061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09305">
      <w:bodyDiv w:val="1"/>
      <w:marLeft w:val="0"/>
      <w:marRight w:val="0"/>
      <w:marTop w:val="0"/>
      <w:marBottom w:val="0"/>
      <w:divBdr>
        <w:top w:val="none" w:sz="0" w:space="0" w:color="auto"/>
        <w:left w:val="none" w:sz="0" w:space="0" w:color="auto"/>
        <w:bottom w:val="none" w:sz="0" w:space="0" w:color="auto"/>
        <w:right w:val="none" w:sz="0" w:space="0" w:color="auto"/>
      </w:divBdr>
    </w:div>
    <w:div w:id="981272537">
      <w:bodyDiv w:val="1"/>
      <w:marLeft w:val="0"/>
      <w:marRight w:val="0"/>
      <w:marTop w:val="0"/>
      <w:marBottom w:val="0"/>
      <w:divBdr>
        <w:top w:val="none" w:sz="0" w:space="0" w:color="auto"/>
        <w:left w:val="none" w:sz="0" w:space="0" w:color="auto"/>
        <w:bottom w:val="none" w:sz="0" w:space="0" w:color="auto"/>
        <w:right w:val="none" w:sz="0" w:space="0" w:color="auto"/>
      </w:divBdr>
      <w:divsChild>
        <w:div w:id="86466840">
          <w:marLeft w:val="0"/>
          <w:marRight w:val="0"/>
          <w:marTop w:val="0"/>
          <w:marBottom w:val="0"/>
          <w:divBdr>
            <w:top w:val="none" w:sz="0" w:space="0" w:color="auto"/>
            <w:left w:val="none" w:sz="0" w:space="0" w:color="auto"/>
            <w:bottom w:val="none" w:sz="0" w:space="0" w:color="auto"/>
            <w:right w:val="none" w:sz="0" w:space="0" w:color="auto"/>
          </w:divBdr>
        </w:div>
        <w:div w:id="1885605194">
          <w:marLeft w:val="0"/>
          <w:marRight w:val="0"/>
          <w:marTop w:val="0"/>
          <w:marBottom w:val="0"/>
          <w:divBdr>
            <w:top w:val="none" w:sz="0" w:space="0" w:color="auto"/>
            <w:left w:val="none" w:sz="0" w:space="0" w:color="auto"/>
            <w:bottom w:val="none" w:sz="0" w:space="0" w:color="auto"/>
            <w:right w:val="none" w:sz="0" w:space="0" w:color="auto"/>
          </w:divBdr>
        </w:div>
        <w:div w:id="1320426036">
          <w:marLeft w:val="0"/>
          <w:marRight w:val="0"/>
          <w:marTop w:val="0"/>
          <w:marBottom w:val="0"/>
          <w:divBdr>
            <w:top w:val="none" w:sz="0" w:space="0" w:color="auto"/>
            <w:left w:val="none" w:sz="0" w:space="0" w:color="auto"/>
            <w:bottom w:val="none" w:sz="0" w:space="0" w:color="auto"/>
            <w:right w:val="none" w:sz="0" w:space="0" w:color="auto"/>
          </w:divBdr>
        </w:div>
      </w:divsChild>
    </w:div>
    <w:div w:id="1217932597">
      <w:bodyDiv w:val="1"/>
      <w:marLeft w:val="0"/>
      <w:marRight w:val="0"/>
      <w:marTop w:val="0"/>
      <w:marBottom w:val="0"/>
      <w:divBdr>
        <w:top w:val="none" w:sz="0" w:space="0" w:color="auto"/>
        <w:left w:val="none" w:sz="0" w:space="0" w:color="auto"/>
        <w:bottom w:val="none" w:sz="0" w:space="0" w:color="auto"/>
        <w:right w:val="none" w:sz="0" w:space="0" w:color="auto"/>
      </w:divBdr>
    </w:div>
    <w:div w:id="1356997480">
      <w:bodyDiv w:val="1"/>
      <w:marLeft w:val="0"/>
      <w:marRight w:val="0"/>
      <w:marTop w:val="0"/>
      <w:marBottom w:val="0"/>
      <w:divBdr>
        <w:top w:val="none" w:sz="0" w:space="0" w:color="auto"/>
        <w:left w:val="none" w:sz="0" w:space="0" w:color="auto"/>
        <w:bottom w:val="none" w:sz="0" w:space="0" w:color="auto"/>
        <w:right w:val="none" w:sz="0" w:space="0" w:color="auto"/>
      </w:divBdr>
    </w:div>
    <w:div w:id="1403871008">
      <w:bodyDiv w:val="1"/>
      <w:marLeft w:val="0"/>
      <w:marRight w:val="0"/>
      <w:marTop w:val="0"/>
      <w:marBottom w:val="0"/>
      <w:divBdr>
        <w:top w:val="none" w:sz="0" w:space="0" w:color="auto"/>
        <w:left w:val="none" w:sz="0" w:space="0" w:color="auto"/>
        <w:bottom w:val="none" w:sz="0" w:space="0" w:color="auto"/>
        <w:right w:val="none" w:sz="0" w:space="0" w:color="auto"/>
      </w:divBdr>
    </w:div>
    <w:div w:id="1427535828">
      <w:bodyDiv w:val="1"/>
      <w:marLeft w:val="0"/>
      <w:marRight w:val="0"/>
      <w:marTop w:val="0"/>
      <w:marBottom w:val="0"/>
      <w:divBdr>
        <w:top w:val="none" w:sz="0" w:space="0" w:color="auto"/>
        <w:left w:val="none" w:sz="0" w:space="0" w:color="auto"/>
        <w:bottom w:val="none" w:sz="0" w:space="0" w:color="auto"/>
        <w:right w:val="none" w:sz="0" w:space="0" w:color="auto"/>
      </w:divBdr>
    </w:div>
    <w:div w:id="1850484984">
      <w:bodyDiv w:val="1"/>
      <w:marLeft w:val="0"/>
      <w:marRight w:val="0"/>
      <w:marTop w:val="0"/>
      <w:marBottom w:val="0"/>
      <w:divBdr>
        <w:top w:val="none" w:sz="0" w:space="0" w:color="auto"/>
        <w:left w:val="none" w:sz="0" w:space="0" w:color="auto"/>
        <w:bottom w:val="none" w:sz="0" w:space="0" w:color="auto"/>
        <w:right w:val="none" w:sz="0" w:space="0" w:color="auto"/>
      </w:divBdr>
    </w:div>
    <w:div w:id="1921059884">
      <w:bodyDiv w:val="1"/>
      <w:marLeft w:val="0"/>
      <w:marRight w:val="0"/>
      <w:marTop w:val="0"/>
      <w:marBottom w:val="0"/>
      <w:divBdr>
        <w:top w:val="none" w:sz="0" w:space="0" w:color="auto"/>
        <w:left w:val="none" w:sz="0" w:space="0" w:color="auto"/>
        <w:bottom w:val="none" w:sz="0" w:space="0" w:color="auto"/>
        <w:right w:val="none" w:sz="0" w:space="0" w:color="auto"/>
      </w:divBdr>
    </w:div>
    <w:div w:id="2033845339">
      <w:bodyDiv w:val="1"/>
      <w:marLeft w:val="0"/>
      <w:marRight w:val="0"/>
      <w:marTop w:val="0"/>
      <w:marBottom w:val="0"/>
      <w:divBdr>
        <w:top w:val="none" w:sz="0" w:space="0" w:color="auto"/>
        <w:left w:val="none" w:sz="0" w:space="0" w:color="auto"/>
        <w:bottom w:val="none" w:sz="0" w:space="0" w:color="auto"/>
        <w:right w:val="none" w:sz="0" w:space="0" w:color="auto"/>
      </w:divBdr>
      <w:divsChild>
        <w:div w:id="1744988297">
          <w:marLeft w:val="-240"/>
          <w:marRight w:val="-240"/>
          <w:marTop w:val="0"/>
          <w:marBottom w:val="0"/>
          <w:divBdr>
            <w:top w:val="none" w:sz="0" w:space="0" w:color="auto"/>
            <w:left w:val="none" w:sz="0" w:space="0" w:color="auto"/>
            <w:bottom w:val="none" w:sz="0" w:space="0" w:color="auto"/>
            <w:right w:val="none" w:sz="0" w:space="0" w:color="auto"/>
          </w:divBdr>
          <w:divsChild>
            <w:div w:id="1087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4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Quentin.smith@bnpparibas.com" TargetMode="External"/><Relationship Id="rId18" Type="http://schemas.openxmlformats.org/officeDocument/2006/relationships/image" Target="media/image3.jpg"/><Relationship Id="rId26" Type="http://schemas.openxmlformats.org/officeDocument/2006/relationships/hyperlink" Target="http://www.bnpparibas-am.com" TargetMode="External"/><Relationship Id="rId3" Type="http://schemas.openxmlformats.org/officeDocument/2006/relationships/customXml" Target="../customXml/item3.xml"/><Relationship Id="rId21" Type="http://schemas.openxmlformats.org/officeDocument/2006/relationships/hyperlink" Target="https://www.twitter.com/BNPPAM_F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youtube.com/c/BNPPAM" TargetMode="External"/><Relationship Id="rId25" Type="http://schemas.openxmlformats.org/officeDocument/2006/relationships/hyperlink" Target="https://www.thisismatter.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diaroom-en.bnpparibas-am.com/" TargetMode="External"/><Relationship Id="rId20" Type="http://schemas.openxmlformats.org/officeDocument/2006/relationships/image" Target="media/image4.jp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jp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bnpparibas-am.com/" TargetMode="External"/><Relationship Id="rId23" Type="http://schemas.openxmlformats.org/officeDocument/2006/relationships/hyperlink" Target="https://investors-corner.bnpparibas-am.com/fr"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inkedin.com/company/bnp-paribas-asset-management"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els@thisismatter.com" TargetMode="External"/><Relationship Id="rId22" Type="http://schemas.openxmlformats.org/officeDocument/2006/relationships/image" Target="media/image5.jp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file:///C:\Users\a23447\AppData\Local\Microsoft\Windows\INetCache\Content.Outlook\20V90HKB\opportunity%20side,%20investment%20in%20the%20SDGs%20could%20unlock%20opportunities" TargetMode="External"/></Relationships>
</file>

<file path=word/theme/theme1.xml><?xml version="1.0" encoding="utf-8"?>
<a:theme xmlns:a="http://schemas.openxmlformats.org/drawingml/2006/main" name="BNPP">
  <a:themeElements>
    <a:clrScheme name="BNPP">
      <a:dk1>
        <a:srgbClr val="000000"/>
      </a:dk1>
      <a:lt1>
        <a:srgbClr val="FFFFFF"/>
      </a:lt1>
      <a:dk2>
        <a:srgbClr val="939598"/>
      </a:dk2>
      <a:lt2>
        <a:srgbClr val="F0F0F0"/>
      </a:lt2>
      <a:accent1>
        <a:srgbClr val="00A76C"/>
      </a:accent1>
      <a:accent2>
        <a:srgbClr val="82A44A"/>
      </a:accent2>
      <a:accent3>
        <a:srgbClr val="BFBFBF"/>
      </a:accent3>
      <a:accent4>
        <a:srgbClr val="D2DCAA"/>
      </a:accent4>
      <a:accent5>
        <a:srgbClr val="A0C873"/>
      </a:accent5>
      <a:accent6>
        <a:srgbClr val="00A76C"/>
      </a:accent6>
      <a:hlink>
        <a:srgbClr val="A0C873"/>
      </a:hlink>
      <a:folHlink>
        <a:srgbClr val="3C9146"/>
      </a:folHlink>
    </a:clrScheme>
    <a:fontScheme name="BNPP">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175">
          <a:noFill/>
        </a:ln>
      </a:spPr>
      <a:bodyPr rot="0" spcFirstLastPara="0" vertOverflow="overflow" horzOverflow="overflow" vert="horz" wrap="square" lIns="91440" tIns="90000" rIns="91440" bIns="90000" numCol="1" spcCol="0" rtlCol="0" fromWordArt="0" anchor="ctr" anchorCtr="0" forceAA="0" compatLnSpc="1">
        <a:prstTxWarp prst="textNoShape">
          <a:avLst/>
        </a:prstTxWarp>
        <a:noAutofit/>
      </a:bodyPr>
      <a:lstStyle>
        <a:defPPr algn="ctr">
          <a:defRPr sz="14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defRPr sz="1400" dirty="0" smtClean="0">
            <a:solidFill>
              <a:schemeClr val="accent4"/>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a0b790-44c2-4081-88a3-aa33f0663233">
      <Terms xmlns="http://schemas.microsoft.com/office/infopath/2007/PartnerControls"/>
    </lcf76f155ced4ddcb4097134ff3c332f>
    <TaxCatchAll xmlns="ba631af4-bba6-4c87-a730-1d04f54524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2A5C34120D3A47A2C34DAF30690C3B" ma:contentTypeVersion="13" ma:contentTypeDescription="Ein neues Dokument erstellen." ma:contentTypeScope="" ma:versionID="663f76734da7fbf7b5b16e86065827a6">
  <xsd:schema xmlns:xsd="http://www.w3.org/2001/XMLSchema" xmlns:xs="http://www.w3.org/2001/XMLSchema" xmlns:p="http://schemas.microsoft.com/office/2006/metadata/properties" xmlns:ns2="99a0b790-44c2-4081-88a3-aa33f0663233" xmlns:ns3="ba631af4-bba6-4c87-a730-1d04f54524e0" targetNamespace="http://schemas.microsoft.com/office/2006/metadata/properties" ma:root="true" ma:fieldsID="9f0258594f4ac6b91b84eb6034312a16" ns2:_="" ns3:_="">
    <xsd:import namespace="99a0b790-44c2-4081-88a3-aa33f0663233"/>
    <xsd:import namespace="ba631af4-bba6-4c87-a730-1d04f54524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0b790-44c2-4081-88a3-aa33f0663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81285a29-1783-4da9-b2b1-9fc57f8c56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631af4-bba6-4c87-a730-1d04f54524e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65b933a-40c2-4bcd-b514-8a0a6085bf8e}" ma:internalName="TaxCatchAll" ma:showField="CatchAllData" ma:web="ba631af4-bba6-4c87-a730-1d04f5452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EE75D-7E85-46FC-86DE-3437BFF7B0BA}">
  <ds:schemaRefs>
    <ds:schemaRef ds:uri="http://purl.org/dc/terms/"/>
    <ds:schemaRef ds:uri="2c7bf10a-b616-4385-a142-b5a330ff9f6f"/>
    <ds:schemaRef ds:uri="http://schemas.microsoft.com/office/2006/documentManagement/types"/>
    <ds:schemaRef ds:uri="http://schemas.microsoft.com/office/infopath/2007/PartnerControls"/>
    <ds:schemaRef ds:uri="http://purl.org/dc/elements/1.1/"/>
    <ds:schemaRef ds:uri="http://schemas.microsoft.com/office/2006/metadata/properties"/>
    <ds:schemaRef ds:uri="7e2529cd-1766-48ef-80a8-fc7305e03962"/>
    <ds:schemaRef ds:uri="http://schemas.openxmlformats.org/package/2006/metadata/core-properties"/>
    <ds:schemaRef ds:uri="http://www.w3.org/XML/1998/namespace"/>
    <ds:schemaRef ds:uri="http://purl.org/dc/dcmitype/"/>
    <ds:schemaRef ds:uri="99a0b790-44c2-4081-88a3-aa33f0663233"/>
    <ds:schemaRef ds:uri="ba631af4-bba6-4c87-a730-1d04f54524e0"/>
  </ds:schemaRefs>
</ds:datastoreItem>
</file>

<file path=customXml/itemProps2.xml><?xml version="1.0" encoding="utf-8"?>
<ds:datastoreItem xmlns:ds="http://schemas.openxmlformats.org/officeDocument/2006/customXml" ds:itemID="{27C65B45-0098-4B6E-88AC-9B3622442AAF}">
  <ds:schemaRefs>
    <ds:schemaRef ds:uri="http://schemas.microsoft.com/sharepoint/v3/contenttype/forms"/>
  </ds:schemaRefs>
</ds:datastoreItem>
</file>

<file path=customXml/itemProps3.xml><?xml version="1.0" encoding="utf-8"?>
<ds:datastoreItem xmlns:ds="http://schemas.openxmlformats.org/officeDocument/2006/customXml" ds:itemID="{EC15EEBD-666C-4BDA-A2CD-4A614D696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0b790-44c2-4081-88a3-aa33f0663233"/>
    <ds:schemaRef ds:uri="ba631af4-bba6-4c87-a730-1d04f5452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15162-2206-4E13-9A46-194AE9A5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8647</Characters>
  <Application>Microsoft Office Word</Application>
  <DocSecurity>0</DocSecurity>
  <Lines>72</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Lionel OSTERERO</dc:creator>
  <cp:keywords>Classification=Public</cp:keywords>
  <cp:lastModifiedBy>Dirk Greiling / redRobin</cp:lastModifiedBy>
  <cp:revision>2</cp:revision>
  <cp:lastPrinted>2018-10-16T12:32:00Z</cp:lastPrinted>
  <dcterms:created xsi:type="dcterms:W3CDTF">2022-06-09T14:24:00Z</dcterms:created>
  <dcterms:modified xsi:type="dcterms:W3CDTF">2022-06-09T14:24:00Z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90d50196-f7f8-4325-b2c0-6def6d6196bb</vt:lpwstr>
  </property>
  <property fmtid="{D5CDD505-2E9C-101B-9397-08002B2CF9AE}" pid="3" name="PIIGDPR">
    <vt:lpwstr>NotSpecified</vt:lpwstr>
  </property>
  <property fmtid="{D5CDD505-2E9C-101B-9397-08002B2CF9AE}" pid="4" name="MSIP_Label_48ed5431-0ab7-4c1b-98f4-d4e50f674d02_Enabled">
    <vt:lpwstr>true</vt:lpwstr>
  </property>
  <property fmtid="{D5CDD505-2E9C-101B-9397-08002B2CF9AE}" pid="5" name="MSIP_Label_48ed5431-0ab7-4c1b-98f4-d4e50f674d02_SetDate">
    <vt:lpwstr>2021-08-25T08:22:48Z</vt:lpwstr>
  </property>
  <property fmtid="{D5CDD505-2E9C-101B-9397-08002B2CF9AE}" pid="6" name="MSIP_Label_48ed5431-0ab7-4c1b-98f4-d4e50f674d02_Method">
    <vt:lpwstr>Standard</vt:lpwstr>
  </property>
  <property fmtid="{D5CDD505-2E9C-101B-9397-08002B2CF9AE}" pid="7" name="MSIP_Label_48ed5431-0ab7-4c1b-98f4-d4e50f674d02_Name">
    <vt:lpwstr>48ed5431-0ab7-4c1b-98f4-d4e50f674d02</vt:lpwstr>
  </property>
  <property fmtid="{D5CDD505-2E9C-101B-9397-08002B2CF9AE}" pid="8" name="MSIP_Label_48ed5431-0ab7-4c1b-98f4-d4e50f674d02_SiteId">
    <vt:lpwstr>614f9c25-bffa-42c7-86d8-964101f55fa2</vt:lpwstr>
  </property>
  <property fmtid="{D5CDD505-2E9C-101B-9397-08002B2CF9AE}" pid="9" name="MSIP_Label_48ed5431-0ab7-4c1b-98f4-d4e50f674d02_ActionId">
    <vt:lpwstr>1a281de1-1cb2-42dc-83a4-908776739333</vt:lpwstr>
  </property>
  <property fmtid="{D5CDD505-2E9C-101B-9397-08002B2CF9AE}" pid="10" name="MSIP_Label_48ed5431-0ab7-4c1b-98f4-d4e50f674d02_ContentBits">
    <vt:lpwstr>0</vt:lpwstr>
  </property>
  <property fmtid="{D5CDD505-2E9C-101B-9397-08002B2CF9AE}" pid="11" name="ContentTypeId">
    <vt:lpwstr>0x010100F02A5C34120D3A47A2C34DAF30690C3B</vt:lpwstr>
  </property>
  <property fmtid="{D5CDD505-2E9C-101B-9397-08002B2CF9AE}" pid="12" name="Classification">
    <vt:lpwstr>Public</vt:lpwstr>
  </property>
  <property fmtid="{D5CDD505-2E9C-101B-9397-08002B2CF9AE}" pid="13" name="ApplyVisualMarking">
    <vt:lpwstr>None</vt:lpwstr>
  </property>
</Properties>
</file>