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A071E" w14:textId="47C515C9" w:rsidR="003C2DF2" w:rsidRPr="00E11E74" w:rsidRDefault="00234D7B" w:rsidP="00883F26">
      <w:pPr>
        <w:spacing w:line="276" w:lineRule="auto"/>
        <w:jc w:val="left"/>
        <w:rPr>
          <w:rFonts w:ascii="BNPP Sans Light" w:hAnsi="BNPP Sans Light"/>
          <w:lang w:val="en-GB"/>
        </w:rPr>
      </w:pPr>
      <w:r w:rsidRPr="00E11E74">
        <w:rPr>
          <w:rFonts w:ascii="BNPP Sans Light" w:hAnsi="BNPP Sans Light"/>
          <w:lang w:val="en-GB"/>
        </w:rPr>
        <w:t>23</w:t>
      </w:r>
      <w:r w:rsidR="006D571E" w:rsidRPr="00E11E74">
        <w:rPr>
          <w:rFonts w:ascii="BNPP Sans Light" w:hAnsi="BNPP Sans Light"/>
          <w:lang w:val="en-GB"/>
        </w:rPr>
        <w:t xml:space="preserve"> June</w:t>
      </w:r>
      <w:r w:rsidR="00CF05B2" w:rsidRPr="00E11E74">
        <w:rPr>
          <w:rFonts w:ascii="BNPP Sans Light" w:hAnsi="BNPP Sans Light"/>
          <w:lang w:val="en-GB"/>
        </w:rPr>
        <w:t xml:space="preserve"> </w:t>
      </w:r>
      <w:r w:rsidR="00D94255" w:rsidRPr="00E11E74">
        <w:rPr>
          <w:rFonts w:ascii="BNPP Sans Light" w:hAnsi="BNPP Sans Light"/>
          <w:lang w:val="en-GB"/>
        </w:rPr>
        <w:t>202</w:t>
      </w:r>
      <w:r w:rsidR="00CF05B2" w:rsidRPr="00E11E74">
        <w:rPr>
          <w:rFonts w:ascii="BNPP Sans Light" w:hAnsi="BNPP Sans Light"/>
          <w:lang w:val="en-GB"/>
        </w:rPr>
        <w:t>2</w:t>
      </w:r>
      <w:r w:rsidR="00E11E74">
        <w:rPr>
          <w:rFonts w:ascii="BNPP Sans Light" w:hAnsi="BNPP Sans Light"/>
          <w:lang w:val="en-GB"/>
        </w:rPr>
        <w:tab/>
      </w:r>
      <w:r w:rsidR="004C6292" w:rsidRPr="00E11E74">
        <w:rPr>
          <w:rFonts w:ascii="BNPP Sans Light" w:hAnsi="BNPP Sans Light"/>
          <w:lang w:val="en-GB"/>
        </w:rPr>
        <w:tab/>
      </w:r>
      <w:r w:rsidR="00871FFE" w:rsidRPr="00E11E74">
        <w:rPr>
          <w:rFonts w:ascii="BNPP Sans Light" w:hAnsi="BNPP Sans Light"/>
          <w:lang w:val="en-GB"/>
        </w:rPr>
        <w:tab/>
      </w:r>
      <w:r w:rsidR="00871FFE" w:rsidRPr="00E11E74">
        <w:rPr>
          <w:rFonts w:ascii="BNPP Sans Light" w:hAnsi="BNPP Sans Light"/>
          <w:lang w:val="en-GB"/>
        </w:rPr>
        <w:tab/>
      </w:r>
      <w:r w:rsidR="00871FFE" w:rsidRPr="00E11E74">
        <w:rPr>
          <w:rFonts w:ascii="BNPP Sans Light" w:hAnsi="BNPP Sans Light"/>
          <w:lang w:val="en-GB"/>
        </w:rPr>
        <w:tab/>
      </w:r>
      <w:r w:rsidR="00871FFE" w:rsidRPr="00E11E74">
        <w:rPr>
          <w:rFonts w:ascii="BNPP Sans Light" w:hAnsi="BNPP Sans Light"/>
          <w:lang w:val="en-GB"/>
        </w:rPr>
        <w:tab/>
      </w:r>
      <w:r w:rsidR="005C726B" w:rsidRPr="00E11E74">
        <w:rPr>
          <w:rFonts w:ascii="BNPP Sans Light" w:hAnsi="BNPP Sans Light"/>
          <w:lang w:val="en-GB"/>
        </w:rPr>
        <w:tab/>
      </w:r>
      <w:r w:rsidR="00871FFE" w:rsidRPr="00E11E74">
        <w:rPr>
          <w:rFonts w:ascii="BNPP Sans Light" w:hAnsi="BNPP Sans Light"/>
          <w:lang w:val="en-GB"/>
        </w:rPr>
        <w:t>Marketing Communication: For media use</w:t>
      </w:r>
    </w:p>
    <w:p w14:paraId="0C7F2AD9" w14:textId="3E7FF687" w:rsidR="009A122A" w:rsidRPr="00E573AF" w:rsidRDefault="009A122A" w:rsidP="00883F26">
      <w:pPr>
        <w:spacing w:line="276" w:lineRule="auto"/>
        <w:jc w:val="left"/>
        <w:rPr>
          <w:rFonts w:ascii="BNPP Sans Light" w:hAnsi="BNPP Sans Light"/>
          <w:lang w:val="en-GB"/>
        </w:rPr>
      </w:pPr>
      <w:r w:rsidRPr="00E11E74">
        <w:rPr>
          <w:rFonts w:ascii="BNPP Sans Light" w:hAnsi="BNPP Sans Light"/>
          <w:lang w:val="en-GB"/>
        </w:rPr>
        <w:tab/>
      </w:r>
      <w:r w:rsidRPr="00E11E74">
        <w:rPr>
          <w:rFonts w:ascii="BNPP Sans Light" w:hAnsi="BNPP Sans Light"/>
          <w:lang w:val="en-GB"/>
        </w:rPr>
        <w:tab/>
      </w:r>
      <w:r w:rsidR="004C6292" w:rsidRPr="00E11E74">
        <w:rPr>
          <w:rFonts w:ascii="BNPP Sans Light" w:hAnsi="BNPP Sans Light"/>
          <w:lang w:val="en-GB"/>
        </w:rPr>
        <w:tab/>
      </w:r>
      <w:r w:rsidRPr="00E11E74">
        <w:rPr>
          <w:rFonts w:ascii="BNPP Sans Light" w:hAnsi="BNPP Sans Light"/>
          <w:lang w:val="en-GB"/>
        </w:rPr>
        <w:tab/>
      </w:r>
      <w:r w:rsidRPr="00E11E74">
        <w:rPr>
          <w:rFonts w:ascii="BNPP Sans Light" w:hAnsi="BNPP Sans Light"/>
          <w:lang w:val="en-GB"/>
        </w:rPr>
        <w:tab/>
      </w:r>
      <w:r w:rsidRPr="00E11E74">
        <w:rPr>
          <w:rFonts w:ascii="BNPP Sans Light" w:hAnsi="BNPP Sans Light"/>
          <w:lang w:val="en-GB"/>
        </w:rPr>
        <w:tab/>
      </w:r>
      <w:r w:rsidRPr="00E11E74">
        <w:rPr>
          <w:rFonts w:ascii="BNPP Sans Light" w:hAnsi="BNPP Sans Light"/>
          <w:lang w:val="en-GB"/>
        </w:rPr>
        <w:tab/>
      </w:r>
      <w:r w:rsidRPr="00E11E74">
        <w:rPr>
          <w:rFonts w:ascii="BNPP Sans Light" w:hAnsi="BNPP Sans Light"/>
          <w:lang w:val="en-GB"/>
        </w:rPr>
        <w:tab/>
        <w:t>For professional investors</w:t>
      </w:r>
    </w:p>
    <w:p w14:paraId="1C9FED08" w14:textId="77777777" w:rsidR="00B138C5" w:rsidRPr="006730A1" w:rsidRDefault="00991878" w:rsidP="00883F26">
      <w:pPr>
        <w:spacing w:line="276" w:lineRule="auto"/>
        <w:rPr>
          <w:lang w:val="en-GB"/>
        </w:rPr>
      </w:pPr>
      <w:r w:rsidRPr="006730A1">
        <w:rPr>
          <w:noProof/>
          <w:lang w:val="en-GB" w:eastAsia="en-GB"/>
        </w:rPr>
        <mc:AlternateContent>
          <mc:Choice Requires="wps">
            <w:drawing>
              <wp:inline distT="0" distB="0" distL="0" distR="0" wp14:anchorId="44AC3163" wp14:editId="1CEF711E">
                <wp:extent cx="6479177" cy="270000"/>
                <wp:effectExtent l="0" t="0" r="0" b="0"/>
                <wp:docPr id="6" name="Rectangle 6"/>
                <wp:cNvGraphicFramePr/>
                <a:graphic xmlns:a="http://schemas.openxmlformats.org/drawingml/2006/main">
                  <a:graphicData uri="http://schemas.microsoft.com/office/word/2010/wordprocessingShape">
                    <wps:wsp>
                      <wps:cNvSpPr/>
                      <wps:spPr>
                        <a:xfrm>
                          <a:off x="0" y="0"/>
                          <a:ext cx="6479177"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72D6DC" w14:textId="74560011" w:rsidR="00991878" w:rsidRDefault="00580D3F" w:rsidP="008C4C01">
                            <w:pPr>
                              <w:pStyle w:val="Subtitle"/>
                            </w:pPr>
                            <w:r>
                              <w:t>PRESS RELEASE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4AC3163"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" fillcolor="#00a76c [3204]" stroked="f" strokeweight=".25pt">
                <v:textbox inset="0,0,0,0">
                  <w:txbxContent>
                    <w:p w14:paraId="6672D6DC" w14:textId="74560011" w:rsidR="00991878" w:rsidRDefault="00580D3F" w:rsidP="008C4C01">
                      <w:pPr>
                        <w:pStyle w:val="Subtitle"/>
                      </w:pPr>
                      <w:r>
                        <w:t>PRESS RELEASE</w:t>
                      </w:r>
                    </w:p>
                  </w:txbxContent>
                </v:textbox>
                <w10:anchorlock/>
              </v:rect>
            </w:pict>
          </mc:Fallback>
        </mc:AlternateContent>
      </w:r>
    </w:p>
    <w:p w14:paraId="5D1131B5" w14:textId="77777777" w:rsidR="000667D2" w:rsidRPr="00C65575" w:rsidRDefault="000667D2" w:rsidP="00883F26">
      <w:pPr>
        <w:pStyle w:val="Default"/>
        <w:spacing w:line="276" w:lineRule="auto"/>
        <w:jc w:val="both"/>
        <w:rPr>
          <w:rStyle w:val="Hyperlink"/>
          <w:rFonts w:ascii="BNPP Sans Light" w:eastAsiaTheme="minorHAnsi" w:hAnsi="BNPP Sans Light" w:cs="Times New Roman"/>
          <w:color w:val="auto"/>
          <w:sz w:val="21"/>
          <w:szCs w:val="21"/>
          <w:lang w:val="en-GB" w:eastAsia="en-US"/>
        </w:rPr>
      </w:pPr>
    </w:p>
    <w:p w14:paraId="768056C0" w14:textId="4BFF85C1" w:rsidR="004C6292" w:rsidRDefault="006D571E" w:rsidP="00883F26">
      <w:pPr>
        <w:shd w:val="clear" w:color="auto" w:fill="FFFFFF"/>
        <w:spacing w:after="150" w:line="276" w:lineRule="auto"/>
        <w:jc w:val="left"/>
        <w:rPr>
          <w:rFonts w:ascii="BNPP Sans" w:hAnsi="BNPP Sans"/>
          <w:b/>
          <w:sz w:val="32"/>
          <w:szCs w:val="36"/>
          <w:lang w:val="en-GB"/>
        </w:rPr>
      </w:pPr>
      <w:r w:rsidRPr="00505A9F">
        <w:rPr>
          <w:rFonts w:ascii="BNPP Sans" w:hAnsi="BNPP Sans"/>
          <w:b/>
          <w:sz w:val="32"/>
          <w:szCs w:val="36"/>
          <w:lang w:val="en-GB"/>
        </w:rPr>
        <w:t xml:space="preserve">BNP Paribas Asset Management </w:t>
      </w:r>
      <w:r w:rsidR="00F34454">
        <w:rPr>
          <w:rFonts w:ascii="BNPP Sans" w:hAnsi="BNPP Sans"/>
          <w:b/>
          <w:sz w:val="32"/>
          <w:szCs w:val="36"/>
          <w:lang w:val="en-GB"/>
        </w:rPr>
        <w:t>announces results of</w:t>
      </w:r>
      <w:r w:rsidR="00C42E86" w:rsidRPr="00505A9F">
        <w:rPr>
          <w:rFonts w:ascii="BNPP Sans" w:hAnsi="BNPP Sans"/>
          <w:b/>
          <w:sz w:val="32"/>
          <w:szCs w:val="36"/>
          <w:lang w:val="en-GB"/>
        </w:rPr>
        <w:t xml:space="preserve"> first </w:t>
      </w:r>
      <w:r w:rsidR="00E41F37" w:rsidRPr="00505A9F">
        <w:rPr>
          <w:rFonts w:ascii="BNPP Sans" w:hAnsi="BNPP Sans"/>
          <w:b/>
          <w:sz w:val="32"/>
          <w:szCs w:val="36"/>
          <w:lang w:val="en-GB"/>
        </w:rPr>
        <w:t xml:space="preserve">European ESG </w:t>
      </w:r>
      <w:r w:rsidR="00C42E86" w:rsidRPr="00505A9F">
        <w:rPr>
          <w:rFonts w:ascii="BNPP Sans" w:hAnsi="BNPP Sans"/>
          <w:b/>
          <w:sz w:val="32"/>
          <w:szCs w:val="36"/>
          <w:lang w:val="en-GB"/>
        </w:rPr>
        <w:t xml:space="preserve">ETF </w:t>
      </w:r>
      <w:r w:rsidR="006A3D85">
        <w:rPr>
          <w:rFonts w:ascii="BNPP Sans" w:hAnsi="BNPP Sans"/>
          <w:b/>
          <w:sz w:val="32"/>
          <w:szCs w:val="36"/>
          <w:lang w:val="en-GB"/>
        </w:rPr>
        <w:t>B</w:t>
      </w:r>
      <w:r w:rsidR="00C42E86" w:rsidRPr="00505A9F">
        <w:rPr>
          <w:rFonts w:ascii="BNPP Sans" w:hAnsi="BNPP Sans"/>
          <w:b/>
          <w:sz w:val="32"/>
          <w:szCs w:val="36"/>
          <w:lang w:val="en-GB"/>
        </w:rPr>
        <w:t>arometer</w:t>
      </w:r>
      <w:r w:rsidR="006A3D85">
        <w:rPr>
          <w:rFonts w:ascii="BNPP Sans" w:hAnsi="BNPP Sans"/>
          <w:b/>
          <w:sz w:val="32"/>
          <w:szCs w:val="36"/>
          <w:lang w:val="en-GB"/>
        </w:rPr>
        <w:t>,</w:t>
      </w:r>
      <w:r w:rsidR="00C42E86" w:rsidRPr="00505A9F">
        <w:rPr>
          <w:rFonts w:ascii="BNPP Sans" w:hAnsi="BNPP Sans"/>
          <w:b/>
          <w:sz w:val="32"/>
          <w:szCs w:val="36"/>
          <w:lang w:val="en-GB"/>
        </w:rPr>
        <w:t xml:space="preserve"> </w:t>
      </w:r>
      <w:r w:rsidR="00505A9F">
        <w:rPr>
          <w:rFonts w:ascii="BNPP Sans" w:hAnsi="BNPP Sans"/>
          <w:b/>
          <w:sz w:val="32"/>
          <w:szCs w:val="36"/>
          <w:lang w:val="en-GB"/>
        </w:rPr>
        <w:t>confirm</w:t>
      </w:r>
      <w:r w:rsidR="00F34454">
        <w:rPr>
          <w:rFonts w:ascii="BNPP Sans" w:hAnsi="BNPP Sans"/>
          <w:b/>
          <w:sz w:val="32"/>
          <w:szCs w:val="36"/>
          <w:lang w:val="en-GB"/>
        </w:rPr>
        <w:t>ing</w:t>
      </w:r>
      <w:r w:rsidR="006A3D85">
        <w:rPr>
          <w:rFonts w:ascii="BNPP Sans" w:hAnsi="BNPP Sans"/>
          <w:b/>
          <w:sz w:val="32"/>
          <w:szCs w:val="36"/>
          <w:lang w:val="en-GB"/>
        </w:rPr>
        <w:t xml:space="preserve"> optimistic</w:t>
      </w:r>
      <w:r w:rsidR="006A3D85" w:rsidRPr="00505A9F">
        <w:rPr>
          <w:rFonts w:ascii="BNPP Sans" w:hAnsi="BNPP Sans"/>
          <w:b/>
          <w:sz w:val="32"/>
          <w:szCs w:val="36"/>
          <w:lang w:val="en-GB"/>
        </w:rPr>
        <w:t xml:space="preserve"> </w:t>
      </w:r>
      <w:r w:rsidR="00505A9F">
        <w:rPr>
          <w:rFonts w:ascii="BNPP Sans" w:hAnsi="BNPP Sans"/>
          <w:b/>
          <w:sz w:val="32"/>
          <w:szCs w:val="36"/>
          <w:lang w:val="en-GB"/>
        </w:rPr>
        <w:t xml:space="preserve">outlook for </w:t>
      </w:r>
      <w:r w:rsidR="00734688" w:rsidRPr="00505A9F">
        <w:rPr>
          <w:rFonts w:ascii="BNPP Sans" w:hAnsi="BNPP Sans"/>
          <w:b/>
          <w:sz w:val="32"/>
          <w:szCs w:val="36"/>
          <w:lang w:val="en-GB"/>
        </w:rPr>
        <w:t xml:space="preserve">ESG </w:t>
      </w:r>
      <w:r w:rsidR="0006085A" w:rsidRPr="00505A9F">
        <w:rPr>
          <w:rFonts w:ascii="BNPP Sans" w:hAnsi="BNPP Sans"/>
          <w:b/>
          <w:sz w:val="32"/>
          <w:szCs w:val="36"/>
          <w:lang w:val="en-GB"/>
        </w:rPr>
        <w:t>E</w:t>
      </w:r>
      <w:r w:rsidR="00734688" w:rsidRPr="00505A9F">
        <w:rPr>
          <w:rFonts w:ascii="BNPP Sans" w:hAnsi="BNPP Sans"/>
          <w:b/>
          <w:sz w:val="32"/>
          <w:szCs w:val="36"/>
          <w:lang w:val="en-GB"/>
        </w:rPr>
        <w:t>TFs</w:t>
      </w:r>
    </w:p>
    <w:p w14:paraId="1DB8B843" w14:textId="1BF75FF9" w:rsidR="00C01F2C" w:rsidRPr="00C01F2C" w:rsidRDefault="00A71A67" w:rsidP="00E41F37">
      <w:pPr>
        <w:shd w:val="clear" w:color="auto" w:fill="FFFFFF"/>
        <w:spacing w:line="276" w:lineRule="auto"/>
        <w:rPr>
          <w:rFonts w:ascii="BNPP Sans Light" w:hAnsi="BNPP Sans Light"/>
          <w:b/>
          <w:color w:val="000000" w:themeColor="text1"/>
          <w:sz w:val="21"/>
          <w:szCs w:val="21"/>
          <w:lang w:val="en-GB"/>
        </w:rPr>
      </w:pPr>
      <w:r w:rsidRPr="00C01F2C">
        <w:rPr>
          <w:rFonts w:ascii="BNPP Sans Light" w:hAnsi="BNPP Sans Light"/>
          <w:b/>
          <w:color w:val="000000" w:themeColor="text1"/>
          <w:sz w:val="21"/>
          <w:szCs w:val="21"/>
          <w:lang w:val="en-GB"/>
        </w:rPr>
        <w:t xml:space="preserve">The results of the BNP Paribas Asset Management (‘BNPP AM’) </w:t>
      </w:r>
      <w:r w:rsidRPr="00505A9F">
        <w:rPr>
          <w:rFonts w:ascii="BNPP Sans Light" w:hAnsi="BNPP Sans Light"/>
          <w:b/>
          <w:i/>
          <w:color w:val="000000" w:themeColor="text1"/>
          <w:sz w:val="21"/>
          <w:szCs w:val="21"/>
          <w:lang w:val="en-GB"/>
        </w:rPr>
        <w:t xml:space="preserve">European ESG </w:t>
      </w:r>
      <w:r w:rsidR="00505A9F">
        <w:rPr>
          <w:rFonts w:ascii="BNPP Sans Light" w:hAnsi="BNPP Sans Light"/>
          <w:b/>
          <w:i/>
          <w:color w:val="000000" w:themeColor="text1"/>
          <w:sz w:val="21"/>
          <w:szCs w:val="21"/>
          <w:lang w:val="en-GB"/>
        </w:rPr>
        <w:t xml:space="preserve">ETF </w:t>
      </w:r>
      <w:r w:rsidR="006A3D85">
        <w:rPr>
          <w:rFonts w:ascii="BNPP Sans Light" w:hAnsi="BNPP Sans Light"/>
          <w:b/>
          <w:i/>
          <w:color w:val="000000" w:themeColor="text1"/>
          <w:sz w:val="21"/>
          <w:szCs w:val="21"/>
          <w:lang w:val="en-GB"/>
        </w:rPr>
        <w:t>B</w:t>
      </w:r>
      <w:r w:rsidR="00505A9F">
        <w:rPr>
          <w:rFonts w:ascii="BNPP Sans Light" w:hAnsi="BNPP Sans Light"/>
          <w:b/>
          <w:i/>
          <w:color w:val="000000" w:themeColor="text1"/>
          <w:sz w:val="21"/>
          <w:szCs w:val="21"/>
          <w:lang w:val="en-GB"/>
        </w:rPr>
        <w:t>arometer</w:t>
      </w:r>
      <w:r w:rsidR="006D571E" w:rsidRPr="00C01F2C">
        <w:rPr>
          <w:rStyle w:val="FootnoteReference"/>
          <w:rFonts w:ascii="BNPP Sans Light" w:hAnsi="BNPP Sans Light"/>
          <w:b/>
          <w:color w:val="000000" w:themeColor="text1"/>
          <w:sz w:val="21"/>
          <w:szCs w:val="21"/>
          <w:lang w:val="en-GB"/>
        </w:rPr>
        <w:footnoteReference w:id="1"/>
      </w:r>
      <w:r w:rsidR="006D571E" w:rsidRPr="00C01F2C">
        <w:rPr>
          <w:rFonts w:ascii="BNPP Sans Light" w:hAnsi="BNPP Sans Light"/>
          <w:b/>
          <w:color w:val="000000" w:themeColor="text1"/>
          <w:sz w:val="21"/>
          <w:szCs w:val="21"/>
          <w:lang w:val="en-GB"/>
        </w:rPr>
        <w:t xml:space="preserve"> </w:t>
      </w:r>
      <w:r w:rsidR="00DF6FA8" w:rsidRPr="00C01F2C">
        <w:rPr>
          <w:rFonts w:ascii="BNPP Sans Light" w:hAnsi="BNPP Sans Light"/>
          <w:b/>
          <w:color w:val="000000" w:themeColor="text1"/>
          <w:sz w:val="21"/>
          <w:szCs w:val="21"/>
          <w:lang w:val="en-GB"/>
        </w:rPr>
        <w:t>revealed</w:t>
      </w:r>
      <w:r w:rsidR="006D571E" w:rsidRPr="00C01F2C">
        <w:rPr>
          <w:rFonts w:ascii="BNPP Sans Light" w:hAnsi="BNPP Sans Light"/>
          <w:b/>
          <w:color w:val="000000" w:themeColor="text1"/>
          <w:sz w:val="21"/>
          <w:szCs w:val="21"/>
          <w:lang w:val="en-GB"/>
        </w:rPr>
        <w:t xml:space="preserve"> that </w:t>
      </w:r>
      <w:r w:rsidR="006A3D85">
        <w:rPr>
          <w:rFonts w:ascii="BNPP Sans Light" w:hAnsi="BNPP Sans Light"/>
          <w:b/>
          <w:color w:val="000000" w:themeColor="text1"/>
          <w:sz w:val="21"/>
          <w:szCs w:val="21"/>
          <w:lang w:val="en-GB"/>
        </w:rPr>
        <w:t>most</w:t>
      </w:r>
      <w:r w:rsidR="006D571E" w:rsidRPr="00C01F2C">
        <w:rPr>
          <w:rFonts w:ascii="BNPP Sans Light" w:hAnsi="BNPP Sans Light"/>
          <w:b/>
          <w:color w:val="000000" w:themeColor="text1"/>
          <w:sz w:val="21"/>
          <w:szCs w:val="21"/>
          <w:lang w:val="en-GB"/>
        </w:rPr>
        <w:t xml:space="preserve"> investors</w:t>
      </w:r>
      <w:r w:rsidR="006A3D85">
        <w:rPr>
          <w:rFonts w:ascii="BNPP Sans Light" w:hAnsi="BNPP Sans Light"/>
          <w:b/>
          <w:color w:val="000000" w:themeColor="text1"/>
          <w:sz w:val="21"/>
          <w:szCs w:val="21"/>
          <w:lang w:val="en-GB"/>
        </w:rPr>
        <w:t xml:space="preserve"> </w:t>
      </w:r>
      <w:r w:rsidR="003E54DB">
        <w:rPr>
          <w:rFonts w:ascii="BNPP Sans Light" w:hAnsi="BNPP Sans Light"/>
          <w:b/>
          <w:color w:val="000000" w:themeColor="text1"/>
          <w:sz w:val="21"/>
          <w:szCs w:val="21"/>
          <w:lang w:val="en-GB"/>
        </w:rPr>
        <w:t>surveyed</w:t>
      </w:r>
      <w:r w:rsidR="006D571E" w:rsidRPr="00C01F2C">
        <w:rPr>
          <w:rFonts w:ascii="BNPP Sans Light" w:hAnsi="BNPP Sans Light"/>
          <w:b/>
          <w:color w:val="000000" w:themeColor="text1"/>
          <w:sz w:val="21"/>
          <w:szCs w:val="21"/>
          <w:lang w:val="en-GB"/>
        </w:rPr>
        <w:t xml:space="preserve"> expect </w:t>
      </w:r>
      <w:r w:rsidR="00803689" w:rsidRPr="00C01F2C">
        <w:rPr>
          <w:rFonts w:ascii="BNPP Sans Light" w:hAnsi="BNPP Sans Light"/>
          <w:b/>
          <w:color w:val="000000" w:themeColor="text1"/>
          <w:sz w:val="21"/>
          <w:szCs w:val="21"/>
          <w:lang w:val="en-GB"/>
        </w:rPr>
        <w:t xml:space="preserve">further expansion of the </w:t>
      </w:r>
      <w:r w:rsidR="006D571E" w:rsidRPr="00C01F2C">
        <w:rPr>
          <w:rFonts w:ascii="BNPP Sans Light" w:hAnsi="BNPP Sans Light"/>
          <w:b/>
          <w:color w:val="000000" w:themeColor="text1"/>
          <w:sz w:val="21"/>
          <w:szCs w:val="21"/>
          <w:lang w:val="en-GB"/>
        </w:rPr>
        <w:t>European ESG</w:t>
      </w:r>
      <w:r w:rsidR="006D571E" w:rsidRPr="00C01F2C">
        <w:rPr>
          <w:rStyle w:val="FootnoteReference"/>
          <w:rFonts w:ascii="BNPP Sans Light" w:hAnsi="BNPP Sans Light"/>
          <w:b/>
          <w:color w:val="000000" w:themeColor="text1"/>
          <w:sz w:val="21"/>
          <w:szCs w:val="21"/>
          <w:lang w:val="en-GB"/>
        </w:rPr>
        <w:footnoteReference w:id="2"/>
      </w:r>
      <w:r w:rsidR="006D571E" w:rsidRPr="00C01F2C">
        <w:rPr>
          <w:rFonts w:ascii="BNPP Sans Light" w:hAnsi="BNPP Sans Light"/>
          <w:b/>
          <w:color w:val="000000" w:themeColor="text1"/>
          <w:sz w:val="21"/>
          <w:szCs w:val="21"/>
          <w:lang w:val="en-GB"/>
        </w:rPr>
        <w:t xml:space="preserve"> ETF</w:t>
      </w:r>
      <w:r w:rsidR="006D571E" w:rsidRPr="00C01F2C">
        <w:rPr>
          <w:rStyle w:val="FootnoteReference"/>
          <w:rFonts w:ascii="BNPP Sans Light" w:hAnsi="BNPP Sans Light"/>
          <w:b/>
          <w:color w:val="000000" w:themeColor="text1"/>
          <w:sz w:val="21"/>
          <w:szCs w:val="21"/>
          <w:lang w:val="en-GB"/>
        </w:rPr>
        <w:footnoteReference w:id="3"/>
      </w:r>
      <w:r w:rsidR="006D571E" w:rsidRPr="00C01F2C">
        <w:rPr>
          <w:rFonts w:ascii="BNPP Sans Light" w:hAnsi="BNPP Sans Light"/>
          <w:b/>
          <w:color w:val="000000" w:themeColor="text1"/>
          <w:sz w:val="21"/>
          <w:szCs w:val="21"/>
          <w:lang w:val="en-GB"/>
        </w:rPr>
        <w:t xml:space="preserve"> market</w:t>
      </w:r>
      <w:r w:rsidR="002D5E95" w:rsidRPr="00C01F2C">
        <w:rPr>
          <w:rFonts w:ascii="BNPP Sans Light" w:hAnsi="BNPP Sans Light"/>
          <w:b/>
          <w:color w:val="000000" w:themeColor="text1"/>
          <w:sz w:val="21"/>
          <w:szCs w:val="21"/>
          <w:lang w:val="en-GB"/>
        </w:rPr>
        <w:t xml:space="preserve"> over the next year</w:t>
      </w:r>
      <w:r w:rsidR="00C01F2C" w:rsidRPr="00C01F2C">
        <w:rPr>
          <w:rFonts w:ascii="BNPP Sans Light" w:hAnsi="BNPP Sans Light"/>
          <w:b/>
          <w:color w:val="000000" w:themeColor="text1"/>
          <w:sz w:val="21"/>
          <w:szCs w:val="21"/>
          <w:lang w:val="en-GB"/>
        </w:rPr>
        <w:t>.</w:t>
      </w:r>
    </w:p>
    <w:p w14:paraId="47A2B6D5" w14:textId="199E2B8A" w:rsidR="00E41F37" w:rsidRDefault="00E41F37" w:rsidP="00E41F37">
      <w:pPr>
        <w:shd w:val="clear" w:color="auto" w:fill="FFFFFF"/>
        <w:spacing w:line="276" w:lineRule="auto"/>
        <w:rPr>
          <w:rFonts w:ascii="BNPP Sans Light" w:hAnsi="BNPP Sans Light"/>
          <w:color w:val="000000" w:themeColor="text1"/>
          <w:sz w:val="21"/>
          <w:szCs w:val="21"/>
          <w:lang w:val="en-GB"/>
        </w:rPr>
      </w:pPr>
    </w:p>
    <w:p w14:paraId="038BBE72" w14:textId="74F8872D" w:rsidR="00E41F37" w:rsidRPr="00505A9F" w:rsidRDefault="00AF57D0" w:rsidP="00E41F37">
      <w:pPr>
        <w:shd w:val="clear" w:color="auto" w:fill="FFFFFF"/>
        <w:spacing w:line="276" w:lineRule="auto"/>
        <w:rPr>
          <w:rFonts w:ascii="BNPP Sans Light" w:hAnsi="BNPP Sans Light"/>
          <w:color w:val="000000" w:themeColor="text1"/>
          <w:sz w:val="21"/>
          <w:szCs w:val="21"/>
          <w:lang w:val="en-GB"/>
        </w:rPr>
      </w:pPr>
      <w:r w:rsidRPr="00505A9F">
        <w:rPr>
          <w:rFonts w:ascii="BNPP Sans Light" w:hAnsi="BNPP Sans Light"/>
          <w:color w:val="000000" w:themeColor="text1"/>
          <w:sz w:val="21"/>
          <w:szCs w:val="21"/>
          <w:lang w:val="en-GB"/>
        </w:rPr>
        <w:t xml:space="preserve">The biannual </w:t>
      </w:r>
      <w:r w:rsidR="00505A9F" w:rsidRPr="00505A9F">
        <w:rPr>
          <w:rFonts w:ascii="BNPP Sans Light" w:hAnsi="BNPP Sans Light"/>
          <w:color w:val="000000" w:themeColor="text1"/>
          <w:sz w:val="21"/>
          <w:szCs w:val="21"/>
          <w:lang w:val="en-GB"/>
        </w:rPr>
        <w:t>barometer</w:t>
      </w:r>
      <w:r w:rsidRPr="00505A9F">
        <w:rPr>
          <w:rFonts w:ascii="BNPP Sans Light" w:hAnsi="BNPP Sans Light"/>
          <w:color w:val="000000" w:themeColor="text1"/>
          <w:sz w:val="21"/>
          <w:szCs w:val="21"/>
          <w:lang w:val="en-GB"/>
        </w:rPr>
        <w:t xml:space="preserve">, conducted </w:t>
      </w:r>
      <w:r w:rsidR="00AB176E" w:rsidRPr="00505A9F">
        <w:rPr>
          <w:rFonts w:ascii="BNPP Sans Light" w:hAnsi="BNPP Sans Light"/>
          <w:color w:val="000000" w:themeColor="text1"/>
          <w:sz w:val="21"/>
          <w:szCs w:val="21"/>
          <w:lang w:val="en-GB"/>
        </w:rPr>
        <w:t xml:space="preserve">for the first time </w:t>
      </w:r>
      <w:r w:rsidRPr="00505A9F">
        <w:rPr>
          <w:rFonts w:ascii="BNPP Sans Light" w:hAnsi="BNPP Sans Light"/>
          <w:color w:val="000000" w:themeColor="text1"/>
          <w:sz w:val="21"/>
          <w:szCs w:val="21"/>
          <w:lang w:val="en-GB"/>
        </w:rPr>
        <w:t xml:space="preserve">in </w:t>
      </w:r>
      <w:r w:rsidR="00022709" w:rsidRPr="00505A9F">
        <w:rPr>
          <w:rFonts w:ascii="BNPP Sans Light" w:hAnsi="BNPP Sans Light"/>
          <w:color w:val="000000" w:themeColor="text1"/>
          <w:sz w:val="21"/>
          <w:szCs w:val="21"/>
          <w:lang w:val="en-GB"/>
        </w:rPr>
        <w:t xml:space="preserve">April </w:t>
      </w:r>
      <w:r w:rsidRPr="00505A9F">
        <w:rPr>
          <w:rFonts w:ascii="BNPP Sans Light" w:hAnsi="BNPP Sans Light"/>
          <w:color w:val="000000" w:themeColor="text1"/>
          <w:sz w:val="21"/>
          <w:szCs w:val="21"/>
          <w:lang w:val="en-GB"/>
        </w:rPr>
        <w:t xml:space="preserve">this year, </w:t>
      </w:r>
      <w:r w:rsidR="00E41F37" w:rsidRPr="00505A9F">
        <w:rPr>
          <w:rFonts w:ascii="BNPP Sans Light" w:hAnsi="BNPP Sans Light"/>
          <w:color w:val="000000" w:themeColor="text1"/>
          <w:sz w:val="21"/>
          <w:szCs w:val="21"/>
          <w:lang w:val="en-GB"/>
        </w:rPr>
        <w:t xml:space="preserve">monitors how European investors’ sustainable investment outlook and practices </w:t>
      </w:r>
      <w:r w:rsidR="00234D7B" w:rsidRPr="00505A9F">
        <w:rPr>
          <w:rFonts w:ascii="BNPP Sans Light" w:hAnsi="BNPP Sans Light"/>
          <w:color w:val="000000" w:themeColor="text1"/>
          <w:sz w:val="21"/>
          <w:szCs w:val="21"/>
          <w:lang w:val="en-GB"/>
        </w:rPr>
        <w:t xml:space="preserve">are </w:t>
      </w:r>
      <w:r w:rsidR="00E41F37" w:rsidRPr="00505A9F">
        <w:rPr>
          <w:rFonts w:ascii="BNPP Sans Light" w:hAnsi="BNPP Sans Light"/>
          <w:color w:val="000000" w:themeColor="text1"/>
          <w:sz w:val="21"/>
          <w:szCs w:val="21"/>
          <w:lang w:val="en-GB"/>
        </w:rPr>
        <w:t>chang</w:t>
      </w:r>
      <w:r w:rsidR="00234D7B" w:rsidRPr="00505A9F">
        <w:rPr>
          <w:rFonts w:ascii="BNPP Sans Light" w:hAnsi="BNPP Sans Light"/>
          <w:color w:val="000000" w:themeColor="text1"/>
          <w:sz w:val="21"/>
          <w:szCs w:val="21"/>
          <w:lang w:val="en-GB"/>
        </w:rPr>
        <w:t>ing</w:t>
      </w:r>
      <w:r w:rsidR="00E41F37" w:rsidRPr="00505A9F">
        <w:rPr>
          <w:rFonts w:ascii="BNPP Sans Light" w:hAnsi="BNPP Sans Light"/>
          <w:color w:val="000000" w:themeColor="text1"/>
          <w:sz w:val="21"/>
          <w:szCs w:val="21"/>
          <w:lang w:val="en-GB"/>
        </w:rPr>
        <w:t xml:space="preserve"> over time.</w:t>
      </w:r>
      <w:r w:rsidR="00F34454">
        <w:rPr>
          <w:rFonts w:ascii="BNPP Sans Light" w:hAnsi="BNPP Sans Light"/>
          <w:color w:val="000000" w:themeColor="text1"/>
          <w:sz w:val="21"/>
          <w:szCs w:val="21"/>
          <w:lang w:val="en-GB"/>
        </w:rPr>
        <w:t xml:space="preserve"> </w:t>
      </w:r>
      <w:r w:rsidR="00E41F37" w:rsidRPr="00505A9F">
        <w:rPr>
          <w:rFonts w:ascii="BNPP Sans Light" w:hAnsi="BNPP Sans Light"/>
          <w:color w:val="000000" w:themeColor="text1"/>
          <w:sz w:val="21"/>
          <w:szCs w:val="21"/>
          <w:lang w:val="en-GB"/>
        </w:rPr>
        <w:t xml:space="preserve"> </w:t>
      </w:r>
      <w:r w:rsidR="006A3D85">
        <w:rPr>
          <w:rFonts w:ascii="BNPP Sans Light" w:hAnsi="BNPP Sans Light"/>
          <w:color w:val="000000" w:themeColor="text1"/>
          <w:sz w:val="21"/>
          <w:szCs w:val="21"/>
          <w:lang w:val="en-GB"/>
        </w:rPr>
        <w:t>It</w:t>
      </w:r>
      <w:r w:rsidRPr="00505A9F">
        <w:rPr>
          <w:rFonts w:ascii="BNPP Sans Light" w:hAnsi="BNPP Sans Light"/>
          <w:color w:val="000000" w:themeColor="text1"/>
          <w:sz w:val="21"/>
          <w:szCs w:val="21"/>
          <w:lang w:val="en-GB"/>
        </w:rPr>
        <w:t xml:space="preserve"> </w:t>
      </w:r>
      <w:r w:rsidR="00E41F37" w:rsidRPr="00505A9F">
        <w:rPr>
          <w:rFonts w:ascii="BNPP Sans Light" w:hAnsi="BNPP Sans Light"/>
          <w:color w:val="000000" w:themeColor="text1"/>
          <w:sz w:val="21"/>
          <w:szCs w:val="21"/>
          <w:lang w:val="en-GB"/>
        </w:rPr>
        <w:t>canvass</w:t>
      </w:r>
      <w:r w:rsidR="00A71A67" w:rsidRPr="00505A9F">
        <w:rPr>
          <w:rFonts w:ascii="BNPP Sans Light" w:hAnsi="BNPP Sans Light"/>
          <w:color w:val="000000" w:themeColor="text1"/>
          <w:sz w:val="21"/>
          <w:szCs w:val="21"/>
          <w:lang w:val="en-GB"/>
        </w:rPr>
        <w:t>es</w:t>
      </w:r>
      <w:r w:rsidR="00E41F37" w:rsidRPr="00505A9F">
        <w:rPr>
          <w:rFonts w:ascii="BNPP Sans Light" w:hAnsi="BNPP Sans Light"/>
          <w:color w:val="000000" w:themeColor="text1"/>
          <w:sz w:val="21"/>
          <w:szCs w:val="21"/>
          <w:lang w:val="en-GB"/>
        </w:rPr>
        <w:t xml:space="preserve"> the views of 250 investment executives at insurers, pension funds, asset managers and wealth managers in France, Germany, Italy, Switzerland and the UK</w:t>
      </w:r>
      <w:r w:rsidR="00803689" w:rsidRPr="00505A9F">
        <w:rPr>
          <w:rFonts w:ascii="BNPP Sans Light" w:hAnsi="BNPP Sans Light"/>
          <w:color w:val="000000" w:themeColor="text1"/>
          <w:sz w:val="21"/>
          <w:szCs w:val="21"/>
          <w:lang w:val="en-GB"/>
        </w:rPr>
        <w:t>.</w:t>
      </w:r>
      <w:r w:rsidR="00846475">
        <w:rPr>
          <w:rFonts w:ascii="BNPP Sans Light" w:hAnsi="BNPP Sans Light"/>
          <w:color w:val="000000" w:themeColor="text1"/>
          <w:sz w:val="21"/>
          <w:szCs w:val="21"/>
          <w:lang w:val="en-GB"/>
        </w:rPr>
        <w:t xml:space="preserve"> </w:t>
      </w:r>
      <w:r w:rsidR="00F34454">
        <w:rPr>
          <w:rFonts w:ascii="BNPP Sans Light" w:hAnsi="BNPP Sans Light"/>
          <w:color w:val="000000" w:themeColor="text1"/>
          <w:sz w:val="21"/>
          <w:szCs w:val="21"/>
          <w:lang w:val="en-GB"/>
        </w:rPr>
        <w:t xml:space="preserve"> </w:t>
      </w:r>
      <w:r w:rsidR="00803689" w:rsidRPr="00505A9F">
        <w:rPr>
          <w:rFonts w:ascii="BNPP Sans Light" w:hAnsi="BNPP Sans Light"/>
          <w:color w:val="000000" w:themeColor="text1"/>
          <w:sz w:val="21"/>
          <w:szCs w:val="21"/>
          <w:lang w:val="en-GB"/>
        </w:rPr>
        <w:t xml:space="preserve">It </w:t>
      </w:r>
      <w:r w:rsidR="00E41F37" w:rsidRPr="00505A9F">
        <w:rPr>
          <w:rFonts w:ascii="BNPP Sans Light" w:hAnsi="BNPP Sans Light"/>
          <w:color w:val="000000" w:themeColor="text1"/>
          <w:sz w:val="21"/>
          <w:szCs w:val="21"/>
          <w:lang w:val="en-GB"/>
        </w:rPr>
        <w:t>assess</w:t>
      </w:r>
      <w:r w:rsidR="00803689" w:rsidRPr="00505A9F">
        <w:rPr>
          <w:rFonts w:ascii="BNPP Sans Light" w:hAnsi="BNPP Sans Light"/>
          <w:color w:val="000000" w:themeColor="text1"/>
          <w:sz w:val="21"/>
          <w:szCs w:val="21"/>
          <w:lang w:val="en-GB"/>
        </w:rPr>
        <w:t>es</w:t>
      </w:r>
      <w:r w:rsidRPr="00505A9F">
        <w:rPr>
          <w:rFonts w:ascii="BNPP Sans Light" w:hAnsi="BNPP Sans Light"/>
          <w:color w:val="000000" w:themeColor="text1"/>
          <w:sz w:val="21"/>
          <w:szCs w:val="21"/>
          <w:lang w:val="en-GB"/>
        </w:rPr>
        <w:t xml:space="preserve"> their </w:t>
      </w:r>
      <w:r w:rsidR="00E41F37" w:rsidRPr="00505A9F">
        <w:rPr>
          <w:rFonts w:ascii="BNPP Sans Light" w:hAnsi="BNPP Sans Light"/>
          <w:color w:val="000000" w:themeColor="text1"/>
          <w:sz w:val="21"/>
          <w:szCs w:val="21"/>
          <w:lang w:val="en-GB"/>
        </w:rPr>
        <w:t xml:space="preserve">perspectives on </w:t>
      </w:r>
      <w:r w:rsidR="002D5E95" w:rsidRPr="00505A9F">
        <w:rPr>
          <w:rFonts w:ascii="BNPP Sans Light" w:hAnsi="BNPP Sans Light"/>
          <w:color w:val="000000" w:themeColor="text1"/>
          <w:sz w:val="21"/>
          <w:szCs w:val="21"/>
          <w:lang w:val="en-GB"/>
        </w:rPr>
        <w:t>the evolving ETF landscape, as well as</w:t>
      </w:r>
      <w:r w:rsidR="006A3D85">
        <w:rPr>
          <w:rFonts w:ascii="BNPP Sans Light" w:hAnsi="BNPP Sans Light"/>
          <w:color w:val="000000" w:themeColor="text1"/>
          <w:sz w:val="21"/>
          <w:szCs w:val="21"/>
          <w:lang w:val="en-GB"/>
        </w:rPr>
        <w:t xml:space="preserve"> on</w:t>
      </w:r>
      <w:r w:rsidR="002D5E95" w:rsidRPr="00505A9F">
        <w:rPr>
          <w:rFonts w:ascii="BNPP Sans Light" w:hAnsi="BNPP Sans Light"/>
          <w:color w:val="000000" w:themeColor="text1"/>
          <w:sz w:val="21"/>
          <w:szCs w:val="21"/>
          <w:lang w:val="en-GB"/>
        </w:rPr>
        <w:t xml:space="preserve"> </w:t>
      </w:r>
      <w:r w:rsidR="00E41F37" w:rsidRPr="00505A9F">
        <w:rPr>
          <w:rFonts w:ascii="BNPP Sans Light" w:hAnsi="BNPP Sans Light"/>
          <w:color w:val="000000" w:themeColor="text1"/>
          <w:sz w:val="21"/>
          <w:szCs w:val="21"/>
          <w:lang w:val="en-GB"/>
        </w:rPr>
        <w:t>ESG integration, thematic opportunities, the regulatory environment</w:t>
      </w:r>
      <w:r w:rsidR="002D5E95" w:rsidRPr="00505A9F">
        <w:rPr>
          <w:rFonts w:ascii="BNPP Sans Light" w:hAnsi="BNPP Sans Light"/>
          <w:color w:val="000000" w:themeColor="text1"/>
          <w:sz w:val="21"/>
          <w:szCs w:val="21"/>
          <w:lang w:val="en-GB"/>
        </w:rPr>
        <w:t xml:space="preserve"> and </w:t>
      </w:r>
      <w:r w:rsidR="00E41F37" w:rsidRPr="00505A9F">
        <w:rPr>
          <w:rFonts w:ascii="BNPP Sans Light" w:hAnsi="BNPP Sans Light"/>
          <w:color w:val="000000" w:themeColor="text1"/>
          <w:sz w:val="21"/>
          <w:szCs w:val="21"/>
          <w:lang w:val="en-GB"/>
        </w:rPr>
        <w:t>ESG investment risks.</w:t>
      </w:r>
      <w:r w:rsidR="00846475">
        <w:rPr>
          <w:rFonts w:ascii="BNPP Sans Light" w:hAnsi="BNPP Sans Light"/>
          <w:color w:val="000000" w:themeColor="text1"/>
          <w:sz w:val="21"/>
          <w:szCs w:val="21"/>
          <w:lang w:val="en-GB"/>
        </w:rPr>
        <w:t xml:space="preserve"> </w:t>
      </w:r>
      <w:r w:rsidR="00F34454">
        <w:rPr>
          <w:rFonts w:ascii="BNPP Sans Light" w:hAnsi="BNPP Sans Light"/>
          <w:color w:val="000000" w:themeColor="text1"/>
          <w:sz w:val="21"/>
          <w:szCs w:val="21"/>
          <w:lang w:val="en-GB"/>
        </w:rPr>
        <w:t xml:space="preserve"> </w:t>
      </w:r>
      <w:r w:rsidR="006A3D85">
        <w:rPr>
          <w:rFonts w:ascii="BNPP Sans Light" w:hAnsi="BNPP Sans Light"/>
          <w:color w:val="000000" w:themeColor="text1"/>
          <w:sz w:val="21"/>
          <w:szCs w:val="21"/>
          <w:lang w:val="en-GB"/>
        </w:rPr>
        <w:t>The key</w:t>
      </w:r>
      <w:r w:rsidR="006A3D85" w:rsidRPr="00505A9F">
        <w:rPr>
          <w:rFonts w:ascii="BNPP Sans Light" w:hAnsi="BNPP Sans Light"/>
          <w:color w:val="000000" w:themeColor="text1"/>
          <w:sz w:val="21"/>
          <w:szCs w:val="21"/>
          <w:lang w:val="en-GB"/>
        </w:rPr>
        <w:t xml:space="preserve"> </w:t>
      </w:r>
      <w:r w:rsidR="001C1DA3" w:rsidRPr="00505A9F">
        <w:rPr>
          <w:rFonts w:ascii="BNPP Sans Light" w:hAnsi="BNPP Sans Light"/>
          <w:color w:val="000000" w:themeColor="text1"/>
          <w:sz w:val="21"/>
          <w:szCs w:val="21"/>
          <w:lang w:val="en-GB"/>
        </w:rPr>
        <w:t>findings</w:t>
      </w:r>
      <w:r w:rsidR="006A3D85">
        <w:rPr>
          <w:rFonts w:ascii="BNPP Sans Light" w:hAnsi="BNPP Sans Light"/>
          <w:color w:val="000000" w:themeColor="text1"/>
          <w:sz w:val="21"/>
          <w:szCs w:val="21"/>
          <w:lang w:val="en-GB"/>
        </w:rPr>
        <w:t xml:space="preserve"> from the first survey</w:t>
      </w:r>
      <w:r w:rsidR="001C1DA3" w:rsidRPr="00505A9F">
        <w:rPr>
          <w:rFonts w:ascii="BNPP Sans Light" w:hAnsi="BNPP Sans Light"/>
          <w:color w:val="000000" w:themeColor="text1"/>
          <w:sz w:val="21"/>
          <w:szCs w:val="21"/>
          <w:lang w:val="en-GB"/>
        </w:rPr>
        <w:t xml:space="preserve"> include:</w:t>
      </w:r>
    </w:p>
    <w:p w14:paraId="043B5DF3" w14:textId="421329E0" w:rsidR="00C01F2C" w:rsidRPr="00505A9F" w:rsidRDefault="00C01F2C" w:rsidP="00C01F2C">
      <w:pPr>
        <w:shd w:val="clear" w:color="auto" w:fill="FFFFFF"/>
        <w:spacing w:line="276" w:lineRule="auto"/>
        <w:rPr>
          <w:rFonts w:ascii="BNPP Sans Light" w:hAnsi="BNPP Sans Light"/>
          <w:color w:val="000000" w:themeColor="text1"/>
          <w:sz w:val="21"/>
          <w:szCs w:val="21"/>
          <w:lang w:val="en-GB"/>
        </w:rPr>
      </w:pPr>
    </w:p>
    <w:p w14:paraId="563EAFCB" w14:textId="2EF45D35" w:rsidR="00505A9F" w:rsidRPr="00CA0987" w:rsidRDefault="00003475" w:rsidP="00505A9F">
      <w:pPr>
        <w:pStyle w:val="ListParagraph"/>
        <w:numPr>
          <w:ilvl w:val="0"/>
          <w:numId w:val="28"/>
        </w:numPr>
        <w:shd w:val="clear" w:color="auto" w:fill="FFFFFF"/>
        <w:spacing w:line="276" w:lineRule="auto"/>
        <w:rPr>
          <w:rFonts w:ascii="BNPP Sans Light" w:hAnsi="BNPP Sans Light"/>
          <w:color w:val="000000" w:themeColor="text1"/>
          <w:sz w:val="21"/>
          <w:szCs w:val="21"/>
          <w:lang w:val="en-GB"/>
        </w:rPr>
      </w:pPr>
      <w:r>
        <w:rPr>
          <w:rFonts w:ascii="BNPP Sans Light" w:hAnsi="BNPP Sans Light"/>
          <w:color w:val="000000" w:themeColor="text1"/>
          <w:sz w:val="21"/>
          <w:szCs w:val="21"/>
          <w:lang w:val="en-GB"/>
        </w:rPr>
        <w:t>W</w:t>
      </w:r>
      <w:r w:rsidR="00505A9F" w:rsidRPr="00505A9F">
        <w:rPr>
          <w:rFonts w:ascii="BNPP Sans Light" w:hAnsi="BNPP Sans Light"/>
          <w:color w:val="000000" w:themeColor="text1"/>
          <w:sz w:val="21"/>
          <w:szCs w:val="21"/>
          <w:lang w:val="en-GB"/>
        </w:rPr>
        <w:t>ith ESG ETFs currently accounting for 16%</w:t>
      </w:r>
      <w:r w:rsidR="00505A9F" w:rsidRPr="00505A9F">
        <w:rPr>
          <w:rStyle w:val="FootnoteReference"/>
          <w:rFonts w:ascii="BNPP Sans Light" w:hAnsi="BNPP Sans Light"/>
          <w:color w:val="000000" w:themeColor="text1"/>
          <w:sz w:val="21"/>
          <w:szCs w:val="21"/>
          <w:lang w:val="en-GB"/>
        </w:rPr>
        <w:footnoteReference w:id="4"/>
      </w:r>
      <w:r w:rsidR="00505A9F" w:rsidRPr="00505A9F">
        <w:rPr>
          <w:rFonts w:ascii="BNPP Sans Light" w:hAnsi="BNPP Sans Light"/>
          <w:color w:val="000000" w:themeColor="text1"/>
          <w:sz w:val="21"/>
          <w:szCs w:val="21"/>
          <w:lang w:val="en-GB"/>
        </w:rPr>
        <w:t xml:space="preserve"> of all </w:t>
      </w:r>
      <w:r w:rsidR="00505A9F" w:rsidRPr="00CA0987">
        <w:rPr>
          <w:rFonts w:ascii="BNPP Sans Light" w:hAnsi="BNPP Sans Light"/>
          <w:color w:val="000000" w:themeColor="text1"/>
          <w:sz w:val="21"/>
          <w:szCs w:val="21"/>
          <w:lang w:val="en-GB"/>
        </w:rPr>
        <w:t xml:space="preserve">European ETF assets, </w:t>
      </w:r>
      <w:r w:rsidR="00FA77CB" w:rsidRPr="00CA0987">
        <w:rPr>
          <w:rFonts w:ascii="BNPP Sans Light" w:hAnsi="BNPP Sans Light"/>
          <w:b/>
          <w:color w:val="000000" w:themeColor="text1"/>
          <w:sz w:val="21"/>
          <w:szCs w:val="21"/>
          <w:lang w:val="en-GB"/>
        </w:rPr>
        <w:t>91</w:t>
      </w:r>
      <w:r w:rsidR="00505A9F" w:rsidRPr="00CA0987">
        <w:rPr>
          <w:rFonts w:ascii="BNPP Sans Light" w:hAnsi="BNPP Sans Light"/>
          <w:b/>
          <w:color w:val="000000" w:themeColor="text1"/>
          <w:sz w:val="21"/>
          <w:szCs w:val="21"/>
          <w:lang w:val="en-GB"/>
        </w:rPr>
        <w:t>%</w:t>
      </w:r>
      <w:r w:rsidR="00505A9F" w:rsidRPr="00CA0987">
        <w:rPr>
          <w:rFonts w:ascii="BNPP Sans Light" w:hAnsi="BNPP Sans Light"/>
          <w:color w:val="000000" w:themeColor="text1"/>
          <w:sz w:val="21"/>
          <w:szCs w:val="21"/>
          <w:lang w:val="en-GB"/>
        </w:rPr>
        <w:t xml:space="preserve"> of survey respondents expect this level to</w:t>
      </w:r>
      <w:r w:rsidR="00AE5B40" w:rsidRPr="00841BF2">
        <w:rPr>
          <w:rFonts w:ascii="BNPP Sans Light" w:hAnsi="BNPP Sans Light"/>
          <w:color w:val="000000" w:themeColor="text1"/>
          <w:sz w:val="21"/>
          <w:szCs w:val="21"/>
          <w:lang w:val="en-GB"/>
        </w:rPr>
        <w:t xml:space="preserve"> remain stable or</w:t>
      </w:r>
      <w:r w:rsidR="00505A9F" w:rsidRPr="00CA0987">
        <w:rPr>
          <w:rFonts w:ascii="BNPP Sans Light" w:hAnsi="BNPP Sans Light"/>
          <w:color w:val="000000" w:themeColor="text1"/>
          <w:sz w:val="21"/>
          <w:szCs w:val="21"/>
          <w:lang w:val="en-GB"/>
        </w:rPr>
        <w:t xml:space="preserve"> increase </w:t>
      </w:r>
      <w:r w:rsidR="00AE5B40" w:rsidRPr="00841BF2">
        <w:rPr>
          <w:rFonts w:ascii="BNPP Sans Light" w:hAnsi="BNPP Sans Light"/>
          <w:color w:val="000000" w:themeColor="text1"/>
          <w:sz w:val="21"/>
          <w:szCs w:val="21"/>
          <w:lang w:val="en-GB"/>
        </w:rPr>
        <w:t>over</w:t>
      </w:r>
      <w:r w:rsidR="00AE5B40" w:rsidRPr="00CA0987">
        <w:rPr>
          <w:rFonts w:ascii="BNPP Sans Light" w:hAnsi="BNPP Sans Light"/>
          <w:color w:val="000000" w:themeColor="text1"/>
          <w:sz w:val="21"/>
          <w:szCs w:val="21"/>
          <w:lang w:val="en-GB"/>
        </w:rPr>
        <w:t xml:space="preserve"> </w:t>
      </w:r>
      <w:r w:rsidR="00505A9F" w:rsidRPr="00CA0987">
        <w:rPr>
          <w:rFonts w:ascii="BNPP Sans Light" w:hAnsi="BNPP Sans Light"/>
          <w:color w:val="000000" w:themeColor="text1"/>
          <w:sz w:val="21"/>
          <w:szCs w:val="21"/>
          <w:lang w:val="en-GB"/>
        </w:rPr>
        <w:t>the coming 12 months</w:t>
      </w:r>
      <w:r w:rsidR="00F34454">
        <w:rPr>
          <w:rFonts w:ascii="BNPP Sans Light" w:hAnsi="BNPP Sans Light"/>
          <w:color w:val="000000" w:themeColor="text1"/>
          <w:sz w:val="21"/>
          <w:szCs w:val="21"/>
          <w:lang w:val="en-GB"/>
        </w:rPr>
        <w:t>.</w:t>
      </w:r>
    </w:p>
    <w:p w14:paraId="5ED3ABAC" w14:textId="71252755" w:rsidR="00505A9F" w:rsidRDefault="00505A9F" w:rsidP="00505A9F">
      <w:pPr>
        <w:pStyle w:val="ListParagraph"/>
        <w:numPr>
          <w:ilvl w:val="0"/>
          <w:numId w:val="28"/>
        </w:numPr>
        <w:shd w:val="clear" w:color="auto" w:fill="FFFFFF"/>
        <w:spacing w:line="276" w:lineRule="auto"/>
        <w:rPr>
          <w:rFonts w:ascii="BNPP Sans Light" w:hAnsi="BNPP Sans Light"/>
          <w:color w:val="000000" w:themeColor="text1"/>
          <w:sz w:val="21"/>
          <w:szCs w:val="21"/>
          <w:lang w:val="en-GB"/>
        </w:rPr>
      </w:pPr>
      <w:r w:rsidRPr="00505A9F">
        <w:rPr>
          <w:rFonts w:ascii="BNPP Sans Light" w:hAnsi="BNPP Sans Light"/>
          <w:b/>
          <w:color w:val="000000" w:themeColor="text1"/>
          <w:sz w:val="21"/>
          <w:szCs w:val="21"/>
          <w:lang w:val="en-GB"/>
        </w:rPr>
        <w:t>57%</w:t>
      </w:r>
      <w:r w:rsidRPr="00505A9F">
        <w:rPr>
          <w:rFonts w:ascii="BNPP Sans Light" w:hAnsi="BNPP Sans Light"/>
          <w:color w:val="000000" w:themeColor="text1"/>
          <w:sz w:val="21"/>
          <w:szCs w:val="21"/>
          <w:lang w:val="en-GB"/>
        </w:rPr>
        <w:t xml:space="preserve"> of respondents ranked asset managers’ ESG credibility and credentials as </w:t>
      </w:r>
      <w:r w:rsidR="001A6821">
        <w:rPr>
          <w:rFonts w:ascii="BNPP Sans Light" w:hAnsi="BNPP Sans Light"/>
          <w:color w:val="000000" w:themeColor="text1"/>
          <w:sz w:val="21"/>
          <w:szCs w:val="21"/>
          <w:lang w:val="en-GB"/>
        </w:rPr>
        <w:t xml:space="preserve">a </w:t>
      </w:r>
      <w:r w:rsidRPr="00505A9F">
        <w:rPr>
          <w:rFonts w:ascii="BNPP Sans Light" w:hAnsi="BNPP Sans Light"/>
          <w:color w:val="000000" w:themeColor="text1"/>
          <w:sz w:val="21"/>
          <w:szCs w:val="21"/>
          <w:lang w:val="en-GB"/>
        </w:rPr>
        <w:t>primary consideration</w:t>
      </w:r>
      <w:r w:rsidR="006A3D85">
        <w:rPr>
          <w:rFonts w:ascii="BNPP Sans Light" w:hAnsi="BNPP Sans Light"/>
          <w:color w:val="000000" w:themeColor="text1"/>
          <w:sz w:val="21"/>
          <w:szCs w:val="21"/>
          <w:lang w:val="en-GB"/>
        </w:rPr>
        <w:t xml:space="preserve"> in deciding who to allocate to.</w:t>
      </w:r>
    </w:p>
    <w:p w14:paraId="46947A05" w14:textId="5F7F610D" w:rsidR="00435E6A" w:rsidRDefault="00435E6A" w:rsidP="00505A9F">
      <w:pPr>
        <w:pStyle w:val="ListParagraph"/>
        <w:numPr>
          <w:ilvl w:val="0"/>
          <w:numId w:val="28"/>
        </w:numPr>
        <w:shd w:val="clear" w:color="auto" w:fill="FFFFFF"/>
        <w:spacing w:line="276" w:lineRule="auto"/>
        <w:rPr>
          <w:rFonts w:ascii="BNPP Sans Light" w:hAnsi="BNPP Sans Light"/>
          <w:bCs/>
          <w:color w:val="000000" w:themeColor="text1"/>
          <w:sz w:val="21"/>
          <w:szCs w:val="21"/>
          <w:lang w:val="en-GB"/>
        </w:rPr>
      </w:pPr>
      <w:r w:rsidRPr="00841BF2">
        <w:rPr>
          <w:rFonts w:ascii="BNPP Sans Light" w:hAnsi="BNPP Sans Light"/>
          <w:bCs/>
          <w:color w:val="000000" w:themeColor="text1"/>
          <w:sz w:val="21"/>
          <w:szCs w:val="21"/>
          <w:lang w:val="en-GB"/>
        </w:rPr>
        <w:t>Investors in Switzerland (</w:t>
      </w:r>
      <w:r w:rsidRPr="005F36F0">
        <w:rPr>
          <w:rFonts w:ascii="BNPP Sans Light" w:hAnsi="BNPP Sans Light"/>
          <w:b/>
          <w:color w:val="000000" w:themeColor="text1"/>
          <w:sz w:val="21"/>
          <w:szCs w:val="21"/>
          <w:lang w:val="en-GB"/>
        </w:rPr>
        <w:t>72%</w:t>
      </w:r>
      <w:r w:rsidRPr="00841BF2">
        <w:rPr>
          <w:rFonts w:ascii="BNPP Sans Light" w:hAnsi="BNPP Sans Light"/>
          <w:bCs/>
          <w:color w:val="000000" w:themeColor="text1"/>
          <w:sz w:val="21"/>
          <w:szCs w:val="21"/>
          <w:lang w:val="en-GB"/>
        </w:rPr>
        <w:t>) and the UK (</w:t>
      </w:r>
      <w:r w:rsidRPr="005F36F0">
        <w:rPr>
          <w:rFonts w:ascii="BNPP Sans Light" w:hAnsi="BNPP Sans Light"/>
          <w:b/>
          <w:color w:val="000000" w:themeColor="text1"/>
          <w:sz w:val="21"/>
          <w:szCs w:val="21"/>
          <w:lang w:val="en-GB"/>
        </w:rPr>
        <w:t>68%</w:t>
      </w:r>
      <w:r w:rsidRPr="00841BF2">
        <w:rPr>
          <w:rFonts w:ascii="BNPP Sans Light" w:hAnsi="BNPP Sans Light"/>
          <w:bCs/>
          <w:color w:val="000000" w:themeColor="text1"/>
          <w:sz w:val="21"/>
          <w:szCs w:val="21"/>
          <w:lang w:val="en-GB"/>
        </w:rPr>
        <w:t>) were most interested in a thematic approach to ESG investing, with</w:t>
      </w:r>
      <w:r w:rsidR="005F36F0" w:rsidRPr="00841BF2">
        <w:rPr>
          <w:rFonts w:ascii="BNPP Sans Light" w:hAnsi="BNPP Sans Light"/>
          <w:bCs/>
          <w:color w:val="000000" w:themeColor="text1"/>
          <w:sz w:val="21"/>
          <w:szCs w:val="21"/>
          <w:lang w:val="en-GB"/>
        </w:rPr>
        <w:t xml:space="preserve"> the circular economy (</w:t>
      </w:r>
      <w:r w:rsidR="005F36F0" w:rsidRPr="005F36F0">
        <w:rPr>
          <w:rFonts w:ascii="BNPP Sans Light" w:hAnsi="BNPP Sans Light"/>
          <w:b/>
          <w:color w:val="000000" w:themeColor="text1"/>
          <w:sz w:val="21"/>
          <w:szCs w:val="21"/>
          <w:lang w:val="en-GB"/>
        </w:rPr>
        <w:t>61%</w:t>
      </w:r>
      <w:r w:rsidR="005F36F0" w:rsidRPr="00841BF2">
        <w:rPr>
          <w:rFonts w:ascii="BNPP Sans Light" w:hAnsi="BNPP Sans Light"/>
          <w:bCs/>
          <w:color w:val="000000" w:themeColor="text1"/>
          <w:sz w:val="21"/>
          <w:szCs w:val="21"/>
          <w:lang w:val="en-GB"/>
        </w:rPr>
        <w:t>) the most popular theme.</w:t>
      </w:r>
    </w:p>
    <w:p w14:paraId="272B2CEC" w14:textId="74B369A1" w:rsidR="005F36F0" w:rsidRPr="005F36F0" w:rsidRDefault="00D55F28" w:rsidP="00D55F28">
      <w:pPr>
        <w:pStyle w:val="ListParagraph"/>
        <w:numPr>
          <w:ilvl w:val="0"/>
          <w:numId w:val="28"/>
        </w:numPr>
        <w:shd w:val="clear" w:color="auto" w:fill="FFFFFF"/>
        <w:spacing w:line="276" w:lineRule="auto"/>
        <w:rPr>
          <w:rFonts w:ascii="BNPP Sans Light" w:hAnsi="BNPP Sans Light"/>
          <w:bCs/>
          <w:color w:val="000000" w:themeColor="text1"/>
          <w:sz w:val="21"/>
          <w:szCs w:val="21"/>
          <w:lang w:val="en-GB"/>
        </w:rPr>
      </w:pPr>
      <w:r w:rsidRPr="00846475">
        <w:rPr>
          <w:rFonts w:ascii="BNPP Sans Light" w:hAnsi="BNPP Sans Light"/>
          <w:b/>
          <w:bCs/>
          <w:color w:val="000000" w:themeColor="text1"/>
          <w:sz w:val="21"/>
          <w:szCs w:val="21"/>
          <w:lang w:val="en-GB"/>
        </w:rPr>
        <w:t>82%</w:t>
      </w:r>
      <w:r w:rsidRPr="00D55F28">
        <w:rPr>
          <w:rFonts w:ascii="BNPP Sans Light" w:hAnsi="BNPP Sans Light"/>
          <w:bCs/>
          <w:color w:val="000000" w:themeColor="text1"/>
          <w:sz w:val="21"/>
          <w:szCs w:val="21"/>
          <w:lang w:val="en-GB"/>
        </w:rPr>
        <w:t xml:space="preserve"> of respondents </w:t>
      </w:r>
      <w:r>
        <w:rPr>
          <w:rFonts w:ascii="BNPP Sans Light" w:hAnsi="BNPP Sans Light"/>
          <w:bCs/>
          <w:color w:val="000000" w:themeColor="text1"/>
          <w:sz w:val="21"/>
          <w:szCs w:val="21"/>
          <w:lang w:val="en-GB"/>
        </w:rPr>
        <w:t>consider t</w:t>
      </w:r>
      <w:r w:rsidR="00780895">
        <w:rPr>
          <w:rFonts w:ascii="BNPP Sans Light" w:hAnsi="BNPP Sans Light"/>
          <w:bCs/>
          <w:color w:val="000000" w:themeColor="text1"/>
          <w:sz w:val="21"/>
          <w:szCs w:val="21"/>
          <w:lang w:val="en-GB"/>
        </w:rPr>
        <w:t xml:space="preserve">hematic ESG ETFs </w:t>
      </w:r>
      <w:r w:rsidR="00846475">
        <w:rPr>
          <w:rFonts w:ascii="BNPP Sans Light" w:hAnsi="BNPP Sans Light"/>
          <w:bCs/>
          <w:color w:val="000000" w:themeColor="text1"/>
          <w:sz w:val="21"/>
          <w:szCs w:val="21"/>
          <w:lang w:val="en-GB"/>
        </w:rPr>
        <w:t>to be</w:t>
      </w:r>
      <w:r w:rsidR="00780895">
        <w:rPr>
          <w:rFonts w:ascii="BNPP Sans Light" w:hAnsi="BNPP Sans Light"/>
          <w:bCs/>
          <w:color w:val="000000" w:themeColor="text1"/>
          <w:sz w:val="21"/>
          <w:szCs w:val="21"/>
          <w:lang w:val="en-GB"/>
        </w:rPr>
        <w:t xml:space="preserve"> active strategies </w:t>
      </w:r>
    </w:p>
    <w:p w14:paraId="3BF49C5F" w14:textId="77777777" w:rsidR="00EA7BE4" w:rsidRPr="00505A9F" w:rsidRDefault="00EA7BE4" w:rsidP="00C01F2C">
      <w:pPr>
        <w:shd w:val="clear" w:color="auto" w:fill="FFFFFF"/>
        <w:spacing w:line="276" w:lineRule="auto"/>
        <w:rPr>
          <w:rFonts w:ascii="BNPP Sans Light" w:hAnsi="BNPP Sans Light"/>
          <w:color w:val="000000" w:themeColor="text1"/>
          <w:sz w:val="21"/>
          <w:szCs w:val="21"/>
          <w:lang w:val="en-GB"/>
        </w:rPr>
      </w:pPr>
    </w:p>
    <w:p w14:paraId="7CF8A326" w14:textId="37ED8F5D" w:rsidR="00C01F2C" w:rsidRPr="00505A9F" w:rsidRDefault="005019E9" w:rsidP="00C01F2C">
      <w:pPr>
        <w:rPr>
          <w:rFonts w:ascii="BNPP Sans Light" w:hAnsi="BNPP Sans Light"/>
          <w:b/>
          <w:sz w:val="21"/>
          <w:szCs w:val="21"/>
          <w:lang w:val="en-GB"/>
        </w:rPr>
      </w:pPr>
      <w:r w:rsidRPr="00505A9F">
        <w:rPr>
          <w:rFonts w:ascii="BNPP Sans Light" w:hAnsi="BNPP Sans Light"/>
          <w:b/>
          <w:sz w:val="21"/>
          <w:szCs w:val="21"/>
          <w:lang w:val="en-GB"/>
        </w:rPr>
        <w:t>Denis Panel</w:t>
      </w:r>
      <w:r w:rsidR="00C01F2C" w:rsidRPr="00505A9F">
        <w:rPr>
          <w:rFonts w:ascii="BNPP Sans Light" w:hAnsi="BNPP Sans Light"/>
          <w:b/>
          <w:sz w:val="21"/>
          <w:szCs w:val="21"/>
          <w:lang w:val="en-GB"/>
        </w:rPr>
        <w:t xml:space="preserve">, Head of </w:t>
      </w:r>
      <w:r w:rsidRPr="00505A9F">
        <w:rPr>
          <w:rFonts w:ascii="BNPP Sans Light" w:hAnsi="BNPP Sans Light"/>
          <w:b/>
          <w:sz w:val="21"/>
          <w:szCs w:val="21"/>
          <w:lang w:val="en-GB"/>
        </w:rPr>
        <w:t xml:space="preserve">Multi-Asset, Quantitative &amp; Solutions (‘MAQS’) </w:t>
      </w:r>
      <w:r w:rsidR="00C01F2C" w:rsidRPr="00505A9F">
        <w:rPr>
          <w:rFonts w:ascii="BNPP Sans Light" w:hAnsi="BNPP Sans Light"/>
          <w:b/>
          <w:sz w:val="21"/>
          <w:szCs w:val="21"/>
          <w:lang w:val="en-GB"/>
        </w:rPr>
        <w:t>at BNPP AM, comments:</w:t>
      </w:r>
    </w:p>
    <w:p w14:paraId="6997DB71" w14:textId="67EE7BCD" w:rsidR="00C01F2C" w:rsidRPr="00505A9F" w:rsidRDefault="00C01F2C" w:rsidP="00C01F2C">
      <w:pPr>
        <w:shd w:val="clear" w:color="auto" w:fill="FFFFFF"/>
        <w:spacing w:line="276" w:lineRule="auto"/>
        <w:rPr>
          <w:rFonts w:ascii="BNPP Sans Light" w:hAnsi="BNPP Sans Light"/>
          <w:i/>
          <w:sz w:val="21"/>
          <w:szCs w:val="21"/>
          <w:lang w:val="en-GB"/>
        </w:rPr>
      </w:pPr>
      <w:r w:rsidRPr="00505A9F">
        <w:rPr>
          <w:rFonts w:ascii="BNPP Sans Light" w:hAnsi="BNPP Sans Light"/>
          <w:i/>
          <w:sz w:val="21"/>
          <w:szCs w:val="21"/>
          <w:lang w:val="en-GB"/>
        </w:rPr>
        <w:t xml:space="preserve">“The launch of the BNP Paribas Asset Management European ESG </w:t>
      </w:r>
      <w:r w:rsidR="006A3D85">
        <w:rPr>
          <w:rFonts w:ascii="BNPP Sans Light" w:hAnsi="BNPP Sans Light"/>
          <w:i/>
          <w:sz w:val="21"/>
          <w:szCs w:val="21"/>
          <w:lang w:val="en-GB"/>
        </w:rPr>
        <w:t>ETF Barometer</w:t>
      </w:r>
      <w:r w:rsidRPr="00505A9F">
        <w:rPr>
          <w:rFonts w:ascii="BNPP Sans Light" w:hAnsi="BNPP Sans Light"/>
          <w:i/>
          <w:sz w:val="21"/>
          <w:szCs w:val="21"/>
          <w:lang w:val="en-GB"/>
        </w:rPr>
        <w:t xml:space="preserve"> </w:t>
      </w:r>
      <w:r w:rsidR="006A3D85">
        <w:rPr>
          <w:rFonts w:ascii="BNPP Sans Light" w:hAnsi="BNPP Sans Light"/>
          <w:i/>
          <w:sz w:val="21"/>
          <w:szCs w:val="21"/>
          <w:lang w:val="en-GB"/>
        </w:rPr>
        <w:t>provides us with</w:t>
      </w:r>
      <w:r w:rsidRPr="00505A9F">
        <w:rPr>
          <w:rFonts w:ascii="BNPP Sans Light" w:hAnsi="BNPP Sans Light"/>
          <w:i/>
          <w:sz w:val="21"/>
          <w:szCs w:val="21"/>
          <w:lang w:val="en-GB"/>
        </w:rPr>
        <w:t xml:space="preserve"> valuable insights into the way in which investor preferences for thematic ESG ETFs are evolving.</w:t>
      </w:r>
      <w:r w:rsidR="00F34454">
        <w:rPr>
          <w:rFonts w:ascii="BNPP Sans Light" w:hAnsi="BNPP Sans Light"/>
          <w:i/>
          <w:sz w:val="21"/>
          <w:szCs w:val="21"/>
          <w:lang w:val="en-GB"/>
        </w:rPr>
        <w:t xml:space="preserve"> </w:t>
      </w:r>
      <w:r w:rsidRPr="00505A9F">
        <w:rPr>
          <w:rFonts w:ascii="BNPP Sans Light" w:hAnsi="BNPP Sans Light"/>
          <w:i/>
          <w:sz w:val="21"/>
          <w:szCs w:val="21"/>
          <w:lang w:val="en-GB"/>
        </w:rPr>
        <w:t xml:space="preserve"> The results of the first survey </w:t>
      </w:r>
      <w:r w:rsidR="006E1C9C" w:rsidRPr="00505A9F">
        <w:rPr>
          <w:rFonts w:ascii="BNPP Sans Light" w:hAnsi="BNPP Sans Light"/>
          <w:i/>
          <w:sz w:val="21"/>
          <w:szCs w:val="21"/>
          <w:lang w:val="en-GB"/>
        </w:rPr>
        <w:t xml:space="preserve">highlight </w:t>
      </w:r>
      <w:r w:rsidRPr="00505A9F">
        <w:rPr>
          <w:rFonts w:ascii="BNPP Sans Light" w:hAnsi="BNPP Sans Light"/>
          <w:i/>
          <w:sz w:val="21"/>
          <w:szCs w:val="21"/>
          <w:lang w:val="en-GB"/>
        </w:rPr>
        <w:t xml:space="preserve">the </w:t>
      </w:r>
      <w:r w:rsidR="006E1C9C" w:rsidRPr="00505A9F">
        <w:rPr>
          <w:rFonts w:ascii="BNPP Sans Light" w:hAnsi="BNPP Sans Light"/>
          <w:i/>
          <w:sz w:val="21"/>
          <w:szCs w:val="21"/>
          <w:lang w:val="en-GB"/>
        </w:rPr>
        <w:t>growing appetite for this asset class</w:t>
      </w:r>
      <w:r w:rsidR="00FA29CC" w:rsidRPr="00505A9F">
        <w:rPr>
          <w:rFonts w:ascii="BNPP Sans Light" w:hAnsi="BNPP Sans Light"/>
          <w:i/>
          <w:sz w:val="21"/>
          <w:szCs w:val="21"/>
          <w:lang w:val="en-GB"/>
        </w:rPr>
        <w:t xml:space="preserve">. </w:t>
      </w:r>
      <w:r w:rsidR="00F34454">
        <w:rPr>
          <w:rFonts w:ascii="BNPP Sans Light" w:hAnsi="BNPP Sans Light"/>
          <w:i/>
          <w:sz w:val="21"/>
          <w:szCs w:val="21"/>
          <w:lang w:val="en-GB"/>
        </w:rPr>
        <w:t xml:space="preserve"> </w:t>
      </w:r>
      <w:r w:rsidR="006E1C9C" w:rsidRPr="00505A9F">
        <w:rPr>
          <w:rFonts w:ascii="BNPP Sans Light" w:hAnsi="BNPP Sans Light"/>
          <w:i/>
          <w:sz w:val="21"/>
          <w:szCs w:val="21"/>
          <w:lang w:val="en-GB"/>
        </w:rPr>
        <w:t>BNPP AM</w:t>
      </w:r>
      <w:r w:rsidR="00FA29CC" w:rsidRPr="00505A9F">
        <w:rPr>
          <w:rFonts w:ascii="BNPP Sans Light" w:hAnsi="BNPP Sans Light"/>
          <w:i/>
          <w:sz w:val="21"/>
          <w:szCs w:val="21"/>
          <w:lang w:val="en-GB"/>
        </w:rPr>
        <w:t xml:space="preserve"> has</w:t>
      </w:r>
      <w:r w:rsidR="006E1C9C" w:rsidRPr="00505A9F">
        <w:rPr>
          <w:rFonts w:ascii="BNPP Sans Light" w:hAnsi="BNPP Sans Light"/>
          <w:i/>
          <w:sz w:val="21"/>
          <w:szCs w:val="21"/>
          <w:lang w:val="en-GB"/>
        </w:rPr>
        <w:t xml:space="preserve"> ambition</w:t>
      </w:r>
      <w:r w:rsidR="00FA29CC" w:rsidRPr="00505A9F">
        <w:rPr>
          <w:rFonts w:ascii="BNPP Sans Light" w:hAnsi="BNPP Sans Light"/>
          <w:i/>
          <w:sz w:val="21"/>
          <w:szCs w:val="21"/>
          <w:lang w:val="en-GB"/>
        </w:rPr>
        <w:t>s</w:t>
      </w:r>
      <w:r w:rsidR="006E1C9C" w:rsidRPr="00505A9F">
        <w:rPr>
          <w:rFonts w:ascii="BNPP Sans Light" w:hAnsi="BNPP Sans Light"/>
          <w:i/>
          <w:sz w:val="21"/>
          <w:szCs w:val="21"/>
          <w:lang w:val="en-GB"/>
        </w:rPr>
        <w:t xml:space="preserve"> to further develop </w:t>
      </w:r>
      <w:r w:rsidR="006E1C9C" w:rsidRPr="00505A9F">
        <w:rPr>
          <w:rFonts w:ascii="BNPP Sans Light" w:hAnsi="BNPP Sans Light"/>
          <w:i/>
          <w:color w:val="000000" w:themeColor="text1"/>
          <w:sz w:val="21"/>
          <w:szCs w:val="21"/>
          <w:lang w:val="en-GB"/>
        </w:rPr>
        <w:t>as a key player in index solutions integrating ESG and decarbonisation.</w:t>
      </w:r>
      <w:r w:rsidR="00846475">
        <w:rPr>
          <w:rFonts w:ascii="BNPP Sans Light" w:hAnsi="BNPP Sans Light"/>
          <w:i/>
          <w:color w:val="000000" w:themeColor="text1"/>
          <w:sz w:val="21"/>
          <w:szCs w:val="21"/>
          <w:lang w:val="en-GB"/>
        </w:rPr>
        <w:t xml:space="preserve"> </w:t>
      </w:r>
      <w:r w:rsidR="00F34454">
        <w:rPr>
          <w:rFonts w:ascii="BNPP Sans Light" w:hAnsi="BNPP Sans Light"/>
          <w:i/>
          <w:color w:val="000000" w:themeColor="text1"/>
          <w:sz w:val="21"/>
          <w:szCs w:val="21"/>
          <w:lang w:val="en-GB"/>
        </w:rPr>
        <w:t xml:space="preserve"> The results </w:t>
      </w:r>
      <w:bookmarkStart w:id="0" w:name="_GoBack"/>
      <w:bookmarkEnd w:id="0"/>
      <w:r w:rsidR="006E1C9C" w:rsidRPr="00505A9F">
        <w:rPr>
          <w:rFonts w:ascii="BNPP Sans Light" w:hAnsi="BNPP Sans Light"/>
          <w:i/>
          <w:color w:val="000000" w:themeColor="text1"/>
          <w:sz w:val="21"/>
          <w:szCs w:val="21"/>
          <w:lang w:val="en-GB"/>
        </w:rPr>
        <w:t xml:space="preserve">not only validate </w:t>
      </w:r>
      <w:r w:rsidR="006E1C9C" w:rsidRPr="00505A9F">
        <w:rPr>
          <w:rFonts w:ascii="BNPP Sans Light" w:hAnsi="BNPP Sans Light"/>
          <w:i/>
          <w:sz w:val="21"/>
          <w:szCs w:val="21"/>
          <w:lang w:val="en-GB"/>
        </w:rPr>
        <w:t xml:space="preserve">the necessary </w:t>
      </w:r>
      <w:r w:rsidR="006E1C9C" w:rsidRPr="00505A9F">
        <w:rPr>
          <w:rFonts w:ascii="BNPP Sans Light" w:hAnsi="BNPP Sans Light"/>
          <w:i/>
          <w:color w:val="000000" w:themeColor="text1"/>
          <w:sz w:val="21"/>
          <w:szCs w:val="21"/>
          <w:lang w:val="en-GB"/>
        </w:rPr>
        <w:t xml:space="preserve">move towards sustainable indices, including </w:t>
      </w:r>
      <w:r w:rsidR="006A3D85">
        <w:rPr>
          <w:rFonts w:ascii="BNPP Sans Light" w:hAnsi="BNPP Sans Light"/>
          <w:i/>
          <w:color w:val="000000" w:themeColor="text1"/>
          <w:sz w:val="21"/>
          <w:szCs w:val="21"/>
          <w:lang w:val="en-GB"/>
        </w:rPr>
        <w:t>Paris-Aligned Benchmark</w:t>
      </w:r>
      <w:r w:rsidR="006E1C9C" w:rsidRPr="00505A9F">
        <w:rPr>
          <w:rFonts w:ascii="BNPP Sans Light" w:hAnsi="BNPP Sans Light"/>
          <w:i/>
          <w:color w:val="000000" w:themeColor="text1"/>
          <w:sz w:val="21"/>
          <w:szCs w:val="21"/>
          <w:lang w:val="en-GB"/>
        </w:rPr>
        <w:t xml:space="preserve"> standards, which BNPP AM adopted at the end of 2021</w:t>
      </w:r>
      <w:r w:rsidR="00E90B1C">
        <w:rPr>
          <w:rFonts w:ascii="BNPP Sans Light" w:hAnsi="BNPP Sans Light"/>
          <w:i/>
          <w:color w:val="000000" w:themeColor="text1"/>
          <w:sz w:val="21"/>
          <w:szCs w:val="21"/>
          <w:lang w:val="en-GB"/>
        </w:rPr>
        <w:t>,</w:t>
      </w:r>
      <w:r w:rsidR="006E1C9C" w:rsidRPr="00505A9F">
        <w:rPr>
          <w:rFonts w:ascii="BNPP Sans Light" w:hAnsi="BNPP Sans Light"/>
          <w:i/>
          <w:color w:val="000000" w:themeColor="text1"/>
          <w:sz w:val="21"/>
          <w:szCs w:val="21"/>
          <w:lang w:val="en-GB"/>
        </w:rPr>
        <w:t xml:space="preserve"> but also show </w:t>
      </w:r>
      <w:r w:rsidRPr="00505A9F">
        <w:rPr>
          <w:rFonts w:ascii="BNPP Sans Light" w:hAnsi="BNPP Sans Light"/>
          <w:i/>
          <w:sz w:val="21"/>
          <w:szCs w:val="21"/>
          <w:lang w:val="en-GB"/>
        </w:rPr>
        <w:t>the increased use of ETFs as a means of accessing ESG themes, with the divide between what has previously been considered ‘active’ and ‘passive’ becoming increasingly blurred.”</w:t>
      </w:r>
    </w:p>
    <w:p w14:paraId="167DF4B4" w14:textId="18B8D780" w:rsidR="00E41F37" w:rsidRPr="00505A9F" w:rsidRDefault="00E41F37" w:rsidP="00883F26">
      <w:pPr>
        <w:shd w:val="clear" w:color="auto" w:fill="FFFFFF"/>
        <w:spacing w:line="276" w:lineRule="auto"/>
        <w:rPr>
          <w:rFonts w:ascii="BNPP Sans Light" w:hAnsi="BNPP Sans Light"/>
          <w:color w:val="000000" w:themeColor="text1"/>
          <w:sz w:val="21"/>
          <w:szCs w:val="21"/>
          <w:lang w:val="en-GB"/>
        </w:rPr>
      </w:pPr>
    </w:p>
    <w:p w14:paraId="06300E83" w14:textId="15E61D54" w:rsidR="00CA40E0" w:rsidRPr="00505A9F" w:rsidRDefault="00CA40E0" w:rsidP="00883F26">
      <w:pPr>
        <w:shd w:val="clear" w:color="auto" w:fill="FFFFFF"/>
        <w:spacing w:line="276" w:lineRule="auto"/>
        <w:rPr>
          <w:rFonts w:ascii="BNPP Sans Light" w:hAnsi="BNPP Sans Light"/>
          <w:color w:val="000000" w:themeColor="text1"/>
          <w:sz w:val="21"/>
          <w:szCs w:val="21"/>
          <w:lang w:val="en-US"/>
        </w:rPr>
      </w:pPr>
      <w:r w:rsidRPr="00505A9F">
        <w:rPr>
          <w:rFonts w:ascii="BNPP Sans Light" w:eastAsia="Arial" w:hAnsi="BNPP Sans Light" w:cs="Arial"/>
          <w:b/>
          <w:bCs/>
          <w:sz w:val="21"/>
          <w:szCs w:val="21"/>
          <w:lang w:val="en-US"/>
        </w:rPr>
        <w:t>Investors are expecting further growth in ESG ETF assets over the next 12 months</w:t>
      </w:r>
    </w:p>
    <w:p w14:paraId="13DE392D" w14:textId="3397B17D" w:rsidR="00190FC9" w:rsidRDefault="009174B1" w:rsidP="00883F26">
      <w:pPr>
        <w:shd w:val="clear" w:color="auto" w:fill="FFFFFF"/>
        <w:spacing w:line="276" w:lineRule="auto"/>
        <w:rPr>
          <w:rFonts w:ascii="BNPP Sans Light" w:hAnsi="BNPP Sans Light"/>
          <w:color w:val="000000" w:themeColor="text1"/>
          <w:sz w:val="21"/>
          <w:szCs w:val="21"/>
          <w:lang w:val="en-GB"/>
        </w:rPr>
      </w:pPr>
      <w:r w:rsidRPr="00505A9F">
        <w:rPr>
          <w:rFonts w:ascii="BNPP Sans Light" w:hAnsi="BNPP Sans Light"/>
          <w:color w:val="000000" w:themeColor="text1"/>
          <w:sz w:val="21"/>
          <w:szCs w:val="21"/>
          <w:lang w:val="en-GB"/>
        </w:rPr>
        <w:t xml:space="preserve">The European ESG </w:t>
      </w:r>
      <w:r w:rsidR="00505A9F" w:rsidRPr="00505A9F">
        <w:rPr>
          <w:rFonts w:ascii="BNPP Sans Light" w:hAnsi="BNPP Sans Light"/>
          <w:color w:val="000000" w:themeColor="text1"/>
          <w:sz w:val="21"/>
          <w:szCs w:val="21"/>
          <w:lang w:val="en-GB"/>
        </w:rPr>
        <w:t xml:space="preserve">ETF </w:t>
      </w:r>
      <w:r w:rsidR="00E90B1C">
        <w:rPr>
          <w:rFonts w:ascii="BNPP Sans Light" w:hAnsi="BNPP Sans Light"/>
          <w:color w:val="000000" w:themeColor="text1"/>
          <w:sz w:val="21"/>
          <w:szCs w:val="21"/>
          <w:lang w:val="en-GB"/>
        </w:rPr>
        <w:t>B</w:t>
      </w:r>
      <w:r w:rsidR="00505A9F" w:rsidRPr="00505A9F">
        <w:rPr>
          <w:rFonts w:ascii="BNPP Sans Light" w:hAnsi="BNPP Sans Light"/>
          <w:color w:val="000000" w:themeColor="text1"/>
          <w:sz w:val="21"/>
          <w:szCs w:val="21"/>
          <w:lang w:val="en-GB"/>
        </w:rPr>
        <w:t>arometer</w:t>
      </w:r>
      <w:r w:rsidRPr="00505A9F">
        <w:rPr>
          <w:rFonts w:ascii="BNPP Sans Light" w:hAnsi="BNPP Sans Light"/>
          <w:color w:val="000000" w:themeColor="text1"/>
          <w:sz w:val="21"/>
          <w:szCs w:val="21"/>
          <w:lang w:val="en-GB"/>
        </w:rPr>
        <w:t xml:space="preserve"> found that </w:t>
      </w:r>
      <w:r w:rsidR="006E1C9C" w:rsidRPr="00505A9F">
        <w:rPr>
          <w:rFonts w:ascii="BNPP Sans Light" w:hAnsi="BNPP Sans Light"/>
          <w:color w:val="000000" w:themeColor="text1"/>
          <w:sz w:val="21"/>
          <w:szCs w:val="21"/>
          <w:lang w:val="en-GB"/>
        </w:rPr>
        <w:t>b</w:t>
      </w:r>
      <w:r w:rsidR="008B0EB4" w:rsidRPr="00505A9F">
        <w:rPr>
          <w:rFonts w:ascii="BNPP Sans Light" w:hAnsi="BNPP Sans Light"/>
          <w:color w:val="000000" w:themeColor="text1"/>
          <w:sz w:val="21"/>
          <w:szCs w:val="21"/>
          <w:lang w:val="en-GB"/>
        </w:rPr>
        <w:t>y investor type, a</w:t>
      </w:r>
      <w:r w:rsidR="00074B2F" w:rsidRPr="00505A9F">
        <w:rPr>
          <w:rFonts w:ascii="BNPP Sans Light" w:hAnsi="BNPP Sans Light"/>
          <w:color w:val="000000" w:themeColor="text1"/>
          <w:sz w:val="21"/>
          <w:szCs w:val="21"/>
          <w:lang w:val="en-GB"/>
        </w:rPr>
        <w:t>sset owners were particularly optimistic</w:t>
      </w:r>
      <w:r w:rsidR="00E90B1C">
        <w:rPr>
          <w:rFonts w:ascii="BNPP Sans Light" w:hAnsi="BNPP Sans Light"/>
          <w:color w:val="000000" w:themeColor="text1"/>
          <w:sz w:val="21"/>
          <w:szCs w:val="21"/>
          <w:lang w:val="en-GB"/>
        </w:rPr>
        <w:t xml:space="preserve"> about the outlook for ESG ETFs</w:t>
      </w:r>
      <w:r w:rsidR="00074B2F" w:rsidRPr="00505A9F">
        <w:rPr>
          <w:rFonts w:ascii="BNPP Sans Light" w:hAnsi="BNPP Sans Light"/>
          <w:color w:val="000000" w:themeColor="text1"/>
          <w:sz w:val="21"/>
          <w:szCs w:val="21"/>
          <w:lang w:val="en-GB"/>
        </w:rPr>
        <w:t xml:space="preserve">, </w:t>
      </w:r>
      <w:r w:rsidR="00074B2F" w:rsidRPr="00E11E74">
        <w:rPr>
          <w:rFonts w:ascii="BNPP Sans Light" w:hAnsi="BNPP Sans Light"/>
          <w:color w:val="000000" w:themeColor="text1"/>
          <w:sz w:val="21"/>
          <w:szCs w:val="21"/>
          <w:lang w:val="en-GB"/>
        </w:rPr>
        <w:t xml:space="preserve">with </w:t>
      </w:r>
      <w:r w:rsidR="005147FA" w:rsidRPr="00E11E74">
        <w:rPr>
          <w:rFonts w:ascii="BNPP Sans Light" w:hAnsi="BNPP Sans Light"/>
          <w:color w:val="000000" w:themeColor="text1"/>
          <w:sz w:val="21"/>
          <w:szCs w:val="21"/>
          <w:lang w:val="en-GB"/>
        </w:rPr>
        <w:t>91</w:t>
      </w:r>
      <w:r w:rsidR="00074B2F" w:rsidRPr="00E11E74">
        <w:rPr>
          <w:rFonts w:ascii="BNPP Sans Light" w:hAnsi="BNPP Sans Light"/>
          <w:color w:val="000000" w:themeColor="text1"/>
          <w:sz w:val="21"/>
          <w:szCs w:val="21"/>
          <w:lang w:val="en-GB"/>
        </w:rPr>
        <w:t xml:space="preserve">% expecting </w:t>
      </w:r>
      <w:r w:rsidR="00AE5B40" w:rsidRPr="00E11E74">
        <w:rPr>
          <w:rFonts w:ascii="BNPP Sans Light" w:hAnsi="BNPP Sans Light"/>
          <w:color w:val="000000" w:themeColor="text1"/>
          <w:sz w:val="21"/>
          <w:szCs w:val="21"/>
          <w:lang w:val="en-GB"/>
        </w:rPr>
        <w:t xml:space="preserve">the proportion of assets held in </w:t>
      </w:r>
      <w:r w:rsidR="00A947D2" w:rsidRPr="00E11E74">
        <w:rPr>
          <w:rFonts w:ascii="BNPP Sans Light" w:hAnsi="BNPP Sans Light"/>
          <w:color w:val="000000" w:themeColor="text1"/>
          <w:sz w:val="21"/>
          <w:szCs w:val="21"/>
          <w:lang w:val="en-GB"/>
        </w:rPr>
        <w:t>ESG ETFs</w:t>
      </w:r>
      <w:r w:rsidR="005147FA" w:rsidRPr="00E11E74">
        <w:rPr>
          <w:rFonts w:ascii="BNPP Sans Light" w:hAnsi="BNPP Sans Light"/>
          <w:color w:val="000000" w:themeColor="text1"/>
          <w:sz w:val="21"/>
          <w:szCs w:val="21"/>
          <w:lang w:val="en-GB"/>
        </w:rPr>
        <w:t xml:space="preserve"> to remain stable or grow</w:t>
      </w:r>
      <w:r w:rsidR="00786E83" w:rsidRPr="00E11E74">
        <w:rPr>
          <w:rFonts w:ascii="BNPP Sans Light" w:hAnsi="BNPP Sans Light"/>
          <w:color w:val="000000" w:themeColor="text1"/>
          <w:sz w:val="21"/>
          <w:szCs w:val="21"/>
          <w:lang w:val="en-GB"/>
        </w:rPr>
        <w:t>.</w:t>
      </w:r>
      <w:r w:rsidR="008B0EB4" w:rsidRPr="00E11E74">
        <w:rPr>
          <w:rFonts w:ascii="BNPP Sans Light" w:hAnsi="BNPP Sans Light"/>
          <w:color w:val="000000" w:themeColor="text1"/>
          <w:sz w:val="21"/>
          <w:szCs w:val="21"/>
          <w:lang w:val="en-GB"/>
        </w:rPr>
        <w:t xml:space="preserve"> </w:t>
      </w:r>
      <w:r w:rsidR="00F34454" w:rsidRPr="00E11E74">
        <w:rPr>
          <w:rFonts w:ascii="BNPP Sans Light" w:hAnsi="BNPP Sans Light"/>
          <w:color w:val="000000" w:themeColor="text1"/>
          <w:sz w:val="21"/>
          <w:szCs w:val="21"/>
          <w:lang w:val="en-GB"/>
        </w:rPr>
        <w:t xml:space="preserve"> </w:t>
      </w:r>
      <w:r w:rsidR="00786E83" w:rsidRPr="00E11E74">
        <w:rPr>
          <w:rFonts w:ascii="BNPP Sans Light" w:hAnsi="BNPP Sans Light"/>
          <w:color w:val="000000" w:themeColor="text1"/>
          <w:sz w:val="21"/>
          <w:szCs w:val="21"/>
          <w:lang w:val="en-GB"/>
        </w:rPr>
        <w:t>B</w:t>
      </w:r>
      <w:r w:rsidR="004C5F41" w:rsidRPr="00E11E74">
        <w:rPr>
          <w:rFonts w:ascii="BNPP Sans Light" w:hAnsi="BNPP Sans Light"/>
          <w:color w:val="000000" w:themeColor="text1"/>
          <w:sz w:val="21"/>
          <w:szCs w:val="21"/>
          <w:lang w:val="en-GB"/>
        </w:rPr>
        <w:t>y country, respondents</w:t>
      </w:r>
      <w:r w:rsidR="00D23378" w:rsidRPr="00E11E74">
        <w:rPr>
          <w:rFonts w:ascii="BNPP Sans Light" w:hAnsi="BNPP Sans Light"/>
          <w:color w:val="000000" w:themeColor="text1"/>
          <w:sz w:val="21"/>
          <w:szCs w:val="21"/>
          <w:lang w:val="en-GB"/>
        </w:rPr>
        <w:t xml:space="preserve"> in</w:t>
      </w:r>
      <w:r w:rsidR="004C5F41" w:rsidRPr="00E11E74">
        <w:rPr>
          <w:rFonts w:ascii="BNPP Sans Light" w:hAnsi="BNPP Sans Light"/>
          <w:color w:val="000000" w:themeColor="text1"/>
          <w:sz w:val="21"/>
          <w:szCs w:val="21"/>
          <w:lang w:val="en-GB"/>
        </w:rPr>
        <w:t xml:space="preserve"> the UK (</w:t>
      </w:r>
      <w:r w:rsidR="001A7BE5" w:rsidRPr="00E11E74">
        <w:rPr>
          <w:rFonts w:ascii="BNPP Sans Light" w:hAnsi="BNPP Sans Light"/>
          <w:color w:val="000000" w:themeColor="text1"/>
          <w:sz w:val="21"/>
          <w:szCs w:val="21"/>
          <w:lang w:val="en-GB"/>
        </w:rPr>
        <w:t>96</w:t>
      </w:r>
      <w:r w:rsidR="004C5F41" w:rsidRPr="00E11E74">
        <w:rPr>
          <w:rFonts w:ascii="BNPP Sans Light" w:hAnsi="BNPP Sans Light"/>
          <w:color w:val="000000" w:themeColor="text1"/>
          <w:sz w:val="21"/>
          <w:szCs w:val="21"/>
          <w:lang w:val="en-GB"/>
        </w:rPr>
        <w:t xml:space="preserve">%) </w:t>
      </w:r>
      <w:r w:rsidR="001A7BE5" w:rsidRPr="00E11E74">
        <w:rPr>
          <w:rFonts w:ascii="BNPP Sans Light" w:hAnsi="BNPP Sans Light"/>
          <w:color w:val="000000" w:themeColor="text1"/>
          <w:sz w:val="21"/>
          <w:szCs w:val="21"/>
          <w:lang w:val="en-GB"/>
        </w:rPr>
        <w:t>and Italy (96%)</w:t>
      </w:r>
      <w:r w:rsidR="001A7BE5">
        <w:rPr>
          <w:rFonts w:ascii="BNPP Sans Light" w:hAnsi="BNPP Sans Light"/>
          <w:color w:val="000000" w:themeColor="text1"/>
          <w:sz w:val="21"/>
          <w:szCs w:val="21"/>
          <w:lang w:val="en-GB"/>
        </w:rPr>
        <w:t xml:space="preserve"> </w:t>
      </w:r>
      <w:r w:rsidR="004C5F41" w:rsidRPr="00505A9F">
        <w:rPr>
          <w:rFonts w:ascii="BNPP Sans Light" w:hAnsi="BNPP Sans Light"/>
          <w:color w:val="000000" w:themeColor="text1"/>
          <w:sz w:val="21"/>
          <w:szCs w:val="21"/>
          <w:lang w:val="en-GB"/>
        </w:rPr>
        <w:t xml:space="preserve">were the most </w:t>
      </w:r>
      <w:r w:rsidR="008B0EB4" w:rsidRPr="00505A9F">
        <w:rPr>
          <w:rFonts w:ascii="BNPP Sans Light" w:hAnsi="BNPP Sans Light"/>
          <w:color w:val="000000" w:themeColor="text1"/>
          <w:sz w:val="21"/>
          <w:szCs w:val="21"/>
          <w:lang w:val="en-GB"/>
        </w:rPr>
        <w:t>positive</w:t>
      </w:r>
      <w:r w:rsidR="004C5F41" w:rsidRPr="00505A9F">
        <w:rPr>
          <w:rFonts w:ascii="BNPP Sans Light" w:hAnsi="BNPP Sans Light"/>
          <w:color w:val="000000" w:themeColor="text1"/>
          <w:sz w:val="21"/>
          <w:szCs w:val="21"/>
          <w:lang w:val="en-GB"/>
        </w:rPr>
        <w:t xml:space="preserve"> </w:t>
      </w:r>
      <w:r w:rsidR="000A665A">
        <w:rPr>
          <w:rFonts w:ascii="BNPP Sans Light" w:hAnsi="BNPP Sans Light"/>
          <w:color w:val="000000" w:themeColor="text1"/>
          <w:sz w:val="21"/>
          <w:szCs w:val="21"/>
          <w:lang w:val="en-GB"/>
        </w:rPr>
        <w:t>about</w:t>
      </w:r>
      <w:r w:rsidR="000A665A" w:rsidRPr="00505A9F">
        <w:rPr>
          <w:rFonts w:ascii="BNPP Sans Light" w:hAnsi="BNPP Sans Light"/>
          <w:color w:val="000000" w:themeColor="text1"/>
          <w:sz w:val="21"/>
          <w:szCs w:val="21"/>
          <w:lang w:val="en-GB"/>
        </w:rPr>
        <w:t xml:space="preserve"> </w:t>
      </w:r>
      <w:r w:rsidR="004C5F41" w:rsidRPr="00505A9F">
        <w:rPr>
          <w:rFonts w:ascii="BNPP Sans Light" w:hAnsi="BNPP Sans Light"/>
          <w:color w:val="000000" w:themeColor="text1"/>
          <w:sz w:val="21"/>
          <w:szCs w:val="21"/>
          <w:lang w:val="en-GB"/>
        </w:rPr>
        <w:t xml:space="preserve">the </w:t>
      </w:r>
      <w:r w:rsidR="008B0EB4" w:rsidRPr="00505A9F">
        <w:rPr>
          <w:rFonts w:ascii="BNPP Sans Light" w:hAnsi="BNPP Sans Light"/>
          <w:color w:val="000000" w:themeColor="text1"/>
          <w:sz w:val="21"/>
          <w:szCs w:val="21"/>
          <w:lang w:val="en-GB"/>
        </w:rPr>
        <w:t xml:space="preserve">growth </w:t>
      </w:r>
      <w:r w:rsidR="004C5F41" w:rsidRPr="00505A9F">
        <w:rPr>
          <w:rFonts w:ascii="BNPP Sans Light" w:hAnsi="BNPP Sans Light"/>
          <w:color w:val="000000" w:themeColor="text1"/>
          <w:sz w:val="21"/>
          <w:szCs w:val="21"/>
          <w:lang w:val="en-GB"/>
        </w:rPr>
        <w:t>outlook</w:t>
      </w:r>
      <w:r w:rsidR="00E90B1C">
        <w:rPr>
          <w:rFonts w:ascii="BNPP Sans Light" w:hAnsi="BNPP Sans Light"/>
          <w:color w:val="000000" w:themeColor="text1"/>
          <w:sz w:val="21"/>
          <w:szCs w:val="21"/>
          <w:lang w:val="en-GB"/>
        </w:rPr>
        <w:t xml:space="preserve"> for the asset class</w:t>
      </w:r>
      <w:r w:rsidR="004C5F41" w:rsidRPr="00505A9F">
        <w:rPr>
          <w:rFonts w:ascii="BNPP Sans Light" w:hAnsi="BNPP Sans Light"/>
          <w:color w:val="000000" w:themeColor="text1"/>
          <w:sz w:val="21"/>
          <w:szCs w:val="21"/>
          <w:lang w:val="en-GB"/>
        </w:rPr>
        <w:t>.</w:t>
      </w:r>
      <w:r w:rsidR="0044743E">
        <w:rPr>
          <w:rFonts w:ascii="BNPP Sans Light" w:hAnsi="BNPP Sans Light"/>
          <w:color w:val="000000" w:themeColor="text1"/>
          <w:sz w:val="21"/>
          <w:szCs w:val="21"/>
          <w:lang w:val="en-GB"/>
        </w:rPr>
        <w:t xml:space="preserve"> </w:t>
      </w:r>
      <w:r w:rsidR="00F34454">
        <w:rPr>
          <w:rFonts w:ascii="BNPP Sans Light" w:hAnsi="BNPP Sans Light"/>
          <w:color w:val="000000" w:themeColor="text1"/>
          <w:sz w:val="21"/>
          <w:szCs w:val="21"/>
          <w:lang w:val="en-GB"/>
        </w:rPr>
        <w:t xml:space="preserve"> </w:t>
      </w:r>
      <w:r w:rsidR="0044743E" w:rsidRPr="00841BF2">
        <w:rPr>
          <w:rFonts w:ascii="BNPP Sans Light" w:hAnsi="BNPP Sans Light"/>
          <w:color w:val="000000" w:themeColor="text1"/>
          <w:sz w:val="21"/>
          <w:szCs w:val="21"/>
          <w:lang w:val="en-GB"/>
        </w:rPr>
        <w:t>In line with</w:t>
      </w:r>
      <w:r w:rsidR="008273FB" w:rsidRPr="00841BF2">
        <w:rPr>
          <w:rFonts w:ascii="BNPP Sans Light" w:hAnsi="BNPP Sans Light"/>
          <w:color w:val="000000" w:themeColor="text1"/>
          <w:sz w:val="21"/>
          <w:szCs w:val="21"/>
          <w:lang w:val="en-GB"/>
        </w:rPr>
        <w:t xml:space="preserve"> these findings, only 6% of respondents expect there to be a major </w:t>
      </w:r>
      <w:r w:rsidR="00A174DB" w:rsidRPr="00841BF2">
        <w:rPr>
          <w:rFonts w:ascii="BNPP Sans Light" w:hAnsi="BNPP Sans Light"/>
          <w:color w:val="000000" w:themeColor="text1"/>
          <w:sz w:val="21"/>
          <w:szCs w:val="21"/>
          <w:lang w:val="en-GB"/>
        </w:rPr>
        <w:t>drop</w:t>
      </w:r>
      <w:r w:rsidR="008273FB" w:rsidRPr="00841BF2">
        <w:rPr>
          <w:rFonts w:ascii="BNPP Sans Light" w:hAnsi="BNPP Sans Light"/>
          <w:color w:val="000000" w:themeColor="text1"/>
          <w:sz w:val="21"/>
          <w:szCs w:val="21"/>
          <w:lang w:val="en-GB"/>
        </w:rPr>
        <w:t xml:space="preserve"> in the value of ESG assets over the next 12 months.</w:t>
      </w:r>
    </w:p>
    <w:p w14:paraId="7FC3A048" w14:textId="77777777" w:rsidR="007E6E80" w:rsidRDefault="007E6E80" w:rsidP="00883F26">
      <w:pPr>
        <w:shd w:val="clear" w:color="auto" w:fill="FFFFFF"/>
        <w:spacing w:line="276" w:lineRule="auto"/>
        <w:rPr>
          <w:rFonts w:ascii="BNPP Sans Light" w:hAnsi="BNPP Sans Light"/>
          <w:color w:val="000000" w:themeColor="text1"/>
          <w:sz w:val="21"/>
          <w:szCs w:val="21"/>
          <w:lang w:val="en-GB"/>
        </w:rPr>
      </w:pPr>
    </w:p>
    <w:p w14:paraId="208929B3" w14:textId="43FFE4D2" w:rsidR="008D0A1B" w:rsidRPr="00841BF2" w:rsidRDefault="008D0A1B" w:rsidP="00883F26">
      <w:pPr>
        <w:shd w:val="clear" w:color="auto" w:fill="FFFFFF"/>
        <w:spacing w:line="276" w:lineRule="auto"/>
        <w:rPr>
          <w:rFonts w:ascii="BNPP Sans Light" w:eastAsia="Arial" w:hAnsi="BNPP Sans Light" w:cs="Arial"/>
          <w:b/>
          <w:bCs/>
          <w:sz w:val="21"/>
          <w:szCs w:val="21"/>
          <w:lang w:val="en-US"/>
        </w:rPr>
      </w:pPr>
      <w:r w:rsidRPr="00841BF2">
        <w:rPr>
          <w:rFonts w:ascii="BNPP Sans Light" w:eastAsia="Arial" w:hAnsi="BNPP Sans Light" w:cs="Arial"/>
          <w:b/>
          <w:bCs/>
          <w:sz w:val="21"/>
          <w:szCs w:val="21"/>
          <w:lang w:val="en-US"/>
        </w:rPr>
        <w:t>Asset managers’ ESG credentials matter</w:t>
      </w:r>
    </w:p>
    <w:p w14:paraId="52D0BC29" w14:textId="5CC6020F" w:rsidR="00182DC7" w:rsidRDefault="00800F58" w:rsidP="00883F26">
      <w:pPr>
        <w:shd w:val="clear" w:color="auto" w:fill="FFFFFF"/>
        <w:spacing w:line="276" w:lineRule="auto"/>
        <w:rPr>
          <w:rFonts w:ascii="BNPP Sans Light" w:hAnsi="BNPP Sans Light"/>
          <w:color w:val="000000" w:themeColor="text1"/>
          <w:sz w:val="21"/>
          <w:szCs w:val="21"/>
          <w:lang w:val="en-GB"/>
        </w:rPr>
      </w:pPr>
      <w:r w:rsidRPr="00505A9F">
        <w:rPr>
          <w:rFonts w:ascii="BNPP Sans Light" w:hAnsi="BNPP Sans Light"/>
          <w:color w:val="000000" w:themeColor="text1"/>
          <w:sz w:val="21"/>
          <w:szCs w:val="21"/>
          <w:lang w:val="en-GB"/>
        </w:rPr>
        <w:lastRenderedPageBreak/>
        <w:t>T</w:t>
      </w:r>
      <w:r w:rsidR="00DF6FA8" w:rsidRPr="00505A9F">
        <w:rPr>
          <w:rFonts w:ascii="BNPP Sans Light" w:hAnsi="BNPP Sans Light"/>
          <w:color w:val="000000" w:themeColor="text1"/>
          <w:sz w:val="21"/>
          <w:szCs w:val="21"/>
          <w:lang w:val="en-GB"/>
        </w:rPr>
        <w:t>he survey</w:t>
      </w:r>
      <w:r w:rsidR="00E90B1C">
        <w:rPr>
          <w:rFonts w:ascii="BNPP Sans Light" w:hAnsi="BNPP Sans Light"/>
          <w:color w:val="000000" w:themeColor="text1"/>
          <w:sz w:val="21"/>
          <w:szCs w:val="21"/>
          <w:lang w:val="en-GB"/>
        </w:rPr>
        <w:t xml:space="preserve"> also</w:t>
      </w:r>
      <w:r w:rsidR="00DF6FA8" w:rsidRPr="00505A9F">
        <w:rPr>
          <w:rFonts w:ascii="BNPP Sans Light" w:hAnsi="BNPP Sans Light"/>
          <w:color w:val="000000" w:themeColor="text1"/>
          <w:sz w:val="21"/>
          <w:szCs w:val="21"/>
          <w:lang w:val="en-GB"/>
        </w:rPr>
        <w:t xml:space="preserve"> found that</w:t>
      </w:r>
      <w:r w:rsidRPr="00505A9F">
        <w:rPr>
          <w:rFonts w:ascii="BNPP Sans Light" w:hAnsi="BNPP Sans Light"/>
          <w:color w:val="000000" w:themeColor="text1"/>
          <w:sz w:val="21"/>
          <w:szCs w:val="21"/>
          <w:lang w:val="en-GB"/>
        </w:rPr>
        <w:t xml:space="preserve"> w</w:t>
      </w:r>
      <w:r w:rsidR="00734688" w:rsidRPr="00505A9F">
        <w:rPr>
          <w:rFonts w:ascii="BNPP Sans Light" w:hAnsi="BNPP Sans Light"/>
          <w:color w:val="000000" w:themeColor="text1"/>
          <w:sz w:val="21"/>
          <w:szCs w:val="21"/>
          <w:lang w:val="en-GB"/>
        </w:rPr>
        <w:t xml:space="preserve">hen selecting ESG ETFs, </w:t>
      </w:r>
      <w:r w:rsidR="00182DC7" w:rsidRPr="00505A9F">
        <w:rPr>
          <w:rFonts w:ascii="BNPP Sans Light" w:hAnsi="BNPP Sans Light"/>
          <w:color w:val="000000" w:themeColor="text1"/>
          <w:sz w:val="21"/>
          <w:szCs w:val="21"/>
          <w:lang w:val="en-GB"/>
        </w:rPr>
        <w:t>asset managers</w:t>
      </w:r>
      <w:r w:rsidR="00734688" w:rsidRPr="00505A9F">
        <w:rPr>
          <w:rFonts w:ascii="BNPP Sans Light" w:hAnsi="BNPP Sans Light"/>
          <w:color w:val="000000" w:themeColor="text1"/>
          <w:sz w:val="21"/>
          <w:szCs w:val="21"/>
          <w:lang w:val="en-GB"/>
        </w:rPr>
        <w:t>’</w:t>
      </w:r>
      <w:r w:rsidR="00182DC7" w:rsidRPr="00505A9F">
        <w:rPr>
          <w:rFonts w:ascii="BNPP Sans Light" w:hAnsi="BNPP Sans Light"/>
          <w:color w:val="000000" w:themeColor="text1"/>
          <w:sz w:val="21"/>
          <w:szCs w:val="21"/>
          <w:lang w:val="en-GB"/>
        </w:rPr>
        <w:t xml:space="preserve"> </w:t>
      </w:r>
      <w:r w:rsidR="00734688" w:rsidRPr="00505A9F">
        <w:rPr>
          <w:rFonts w:ascii="BNPP Sans Light" w:hAnsi="BNPP Sans Light"/>
          <w:color w:val="000000" w:themeColor="text1"/>
          <w:sz w:val="21"/>
          <w:szCs w:val="21"/>
          <w:lang w:val="en-GB"/>
        </w:rPr>
        <w:t xml:space="preserve">ESG </w:t>
      </w:r>
      <w:r w:rsidR="00182DC7" w:rsidRPr="00505A9F">
        <w:rPr>
          <w:rFonts w:ascii="BNPP Sans Light" w:hAnsi="BNPP Sans Light"/>
          <w:color w:val="000000" w:themeColor="text1"/>
          <w:sz w:val="21"/>
          <w:szCs w:val="21"/>
          <w:lang w:val="en-GB"/>
        </w:rPr>
        <w:t xml:space="preserve">credibility </w:t>
      </w:r>
      <w:r w:rsidR="00734688" w:rsidRPr="00505A9F">
        <w:rPr>
          <w:rFonts w:ascii="BNPP Sans Light" w:hAnsi="BNPP Sans Light"/>
          <w:color w:val="000000" w:themeColor="text1"/>
          <w:sz w:val="21"/>
          <w:szCs w:val="21"/>
          <w:lang w:val="en-GB"/>
        </w:rPr>
        <w:t xml:space="preserve">and credentials are </w:t>
      </w:r>
      <w:r w:rsidR="00E90B1C">
        <w:rPr>
          <w:rFonts w:ascii="BNPP Sans Light" w:hAnsi="BNPP Sans Light"/>
          <w:color w:val="000000" w:themeColor="text1"/>
          <w:sz w:val="21"/>
          <w:szCs w:val="21"/>
          <w:lang w:val="en-GB"/>
        </w:rPr>
        <w:t>a</w:t>
      </w:r>
      <w:r w:rsidR="00E90B1C" w:rsidRPr="00505A9F">
        <w:rPr>
          <w:rFonts w:ascii="BNPP Sans Light" w:hAnsi="BNPP Sans Light"/>
          <w:color w:val="000000" w:themeColor="text1"/>
          <w:sz w:val="21"/>
          <w:szCs w:val="21"/>
          <w:lang w:val="en-GB"/>
        </w:rPr>
        <w:t xml:space="preserve"> </w:t>
      </w:r>
      <w:r w:rsidR="00734688" w:rsidRPr="00505A9F">
        <w:rPr>
          <w:rFonts w:ascii="BNPP Sans Light" w:hAnsi="BNPP Sans Light"/>
          <w:color w:val="000000" w:themeColor="text1"/>
          <w:sz w:val="21"/>
          <w:szCs w:val="21"/>
          <w:lang w:val="en-GB"/>
        </w:rPr>
        <w:t>primary consideration</w:t>
      </w:r>
      <w:r w:rsidR="00E90B1C">
        <w:rPr>
          <w:rFonts w:ascii="BNPP Sans Light" w:hAnsi="BNPP Sans Light"/>
          <w:color w:val="000000" w:themeColor="text1"/>
          <w:sz w:val="21"/>
          <w:szCs w:val="21"/>
          <w:lang w:val="en-GB"/>
        </w:rPr>
        <w:t xml:space="preserve"> for investors choosing who to allocate to</w:t>
      </w:r>
      <w:r w:rsidR="00182DC7" w:rsidRPr="00505A9F">
        <w:rPr>
          <w:rFonts w:ascii="BNPP Sans Light" w:hAnsi="BNPP Sans Light"/>
          <w:color w:val="000000" w:themeColor="text1"/>
          <w:sz w:val="21"/>
          <w:szCs w:val="21"/>
          <w:lang w:val="en-GB"/>
        </w:rPr>
        <w:t xml:space="preserve">, with 57% </w:t>
      </w:r>
      <w:r w:rsidR="00734688" w:rsidRPr="00505A9F">
        <w:rPr>
          <w:rFonts w:ascii="BNPP Sans Light" w:hAnsi="BNPP Sans Light"/>
          <w:color w:val="000000" w:themeColor="text1"/>
          <w:sz w:val="21"/>
          <w:szCs w:val="21"/>
          <w:lang w:val="en-GB"/>
        </w:rPr>
        <w:t xml:space="preserve">of investors </w:t>
      </w:r>
      <w:r w:rsidR="00182DC7" w:rsidRPr="00505A9F">
        <w:rPr>
          <w:rFonts w:ascii="BNPP Sans Light" w:hAnsi="BNPP Sans Light"/>
          <w:color w:val="000000" w:themeColor="text1"/>
          <w:sz w:val="21"/>
          <w:szCs w:val="21"/>
          <w:lang w:val="en-GB"/>
        </w:rPr>
        <w:t xml:space="preserve">ranking this among their top three criteria. </w:t>
      </w:r>
      <w:r w:rsidR="00734688" w:rsidRPr="00505A9F">
        <w:rPr>
          <w:rFonts w:ascii="BNPP Sans Light" w:hAnsi="BNPP Sans Light"/>
          <w:color w:val="000000" w:themeColor="text1"/>
          <w:sz w:val="21"/>
          <w:szCs w:val="21"/>
          <w:lang w:val="en-GB"/>
        </w:rPr>
        <w:t xml:space="preserve"> </w:t>
      </w:r>
      <w:r w:rsidR="008D0A1B">
        <w:rPr>
          <w:rFonts w:ascii="BNPP Sans Light" w:hAnsi="BNPP Sans Light"/>
          <w:color w:val="000000" w:themeColor="text1"/>
          <w:sz w:val="21"/>
          <w:szCs w:val="21"/>
          <w:lang w:val="en-GB"/>
        </w:rPr>
        <w:t>However</w:t>
      </w:r>
      <w:r w:rsidR="00734688" w:rsidRPr="00505A9F">
        <w:rPr>
          <w:rFonts w:ascii="BNPP Sans Light" w:hAnsi="BNPP Sans Light"/>
          <w:color w:val="000000" w:themeColor="text1"/>
          <w:sz w:val="21"/>
          <w:szCs w:val="21"/>
          <w:lang w:val="en-GB"/>
        </w:rPr>
        <w:t xml:space="preserve">, </w:t>
      </w:r>
      <w:r w:rsidR="00E90B1C">
        <w:rPr>
          <w:rFonts w:ascii="BNPP Sans Light" w:hAnsi="BNPP Sans Light"/>
          <w:color w:val="000000" w:themeColor="text1"/>
          <w:sz w:val="21"/>
          <w:szCs w:val="21"/>
          <w:lang w:val="en-GB"/>
        </w:rPr>
        <w:t>respondents</w:t>
      </w:r>
      <w:r w:rsidR="00E90B1C" w:rsidRPr="00505A9F">
        <w:rPr>
          <w:rFonts w:ascii="BNPP Sans Light" w:hAnsi="BNPP Sans Light"/>
          <w:color w:val="000000" w:themeColor="text1"/>
          <w:sz w:val="21"/>
          <w:szCs w:val="21"/>
          <w:lang w:val="en-GB"/>
        </w:rPr>
        <w:t xml:space="preserve"> </w:t>
      </w:r>
      <w:r w:rsidR="00182DC7" w:rsidRPr="00505A9F">
        <w:rPr>
          <w:rFonts w:ascii="BNPP Sans Light" w:hAnsi="BNPP Sans Light"/>
          <w:color w:val="000000" w:themeColor="text1"/>
          <w:sz w:val="21"/>
          <w:szCs w:val="21"/>
          <w:lang w:val="en-GB"/>
        </w:rPr>
        <w:t xml:space="preserve">in Germany and Switzerland attached </w:t>
      </w:r>
      <w:r w:rsidR="008D0A1B">
        <w:rPr>
          <w:rFonts w:ascii="BNPP Sans Light" w:hAnsi="BNPP Sans Light"/>
          <w:color w:val="000000" w:themeColor="text1"/>
          <w:sz w:val="21"/>
          <w:szCs w:val="21"/>
          <w:lang w:val="en-GB"/>
        </w:rPr>
        <w:t>more</w:t>
      </w:r>
      <w:r w:rsidR="008D0A1B" w:rsidRPr="00505A9F">
        <w:rPr>
          <w:rFonts w:ascii="BNPP Sans Light" w:hAnsi="BNPP Sans Light"/>
          <w:color w:val="000000" w:themeColor="text1"/>
          <w:sz w:val="21"/>
          <w:szCs w:val="21"/>
          <w:lang w:val="en-GB"/>
        </w:rPr>
        <w:t xml:space="preserve"> </w:t>
      </w:r>
      <w:r w:rsidR="00182DC7" w:rsidRPr="00505A9F">
        <w:rPr>
          <w:rFonts w:ascii="BNPP Sans Light" w:hAnsi="BNPP Sans Light"/>
          <w:color w:val="000000" w:themeColor="text1"/>
          <w:sz w:val="21"/>
          <w:szCs w:val="21"/>
          <w:lang w:val="en-GB"/>
        </w:rPr>
        <w:t>importance to ESG</w:t>
      </w:r>
      <w:r w:rsidR="00734688" w:rsidRPr="00505A9F">
        <w:rPr>
          <w:rFonts w:ascii="BNPP Sans Light" w:hAnsi="BNPP Sans Light"/>
          <w:color w:val="000000" w:themeColor="text1"/>
          <w:sz w:val="21"/>
          <w:szCs w:val="21"/>
          <w:lang w:val="en-GB"/>
        </w:rPr>
        <w:t xml:space="preserve"> fund labels and certifications, with 46% in both countries </w:t>
      </w:r>
      <w:r w:rsidR="00E90B1C">
        <w:rPr>
          <w:rFonts w:ascii="BNPP Sans Light" w:hAnsi="BNPP Sans Light"/>
          <w:color w:val="000000" w:themeColor="text1"/>
          <w:sz w:val="21"/>
          <w:szCs w:val="21"/>
          <w:lang w:val="en-GB"/>
        </w:rPr>
        <w:t>stating that</w:t>
      </w:r>
      <w:r w:rsidR="00E90B1C" w:rsidRPr="00505A9F">
        <w:rPr>
          <w:rFonts w:ascii="BNPP Sans Light" w:hAnsi="BNPP Sans Light"/>
          <w:color w:val="000000" w:themeColor="text1"/>
          <w:sz w:val="21"/>
          <w:szCs w:val="21"/>
          <w:lang w:val="en-GB"/>
        </w:rPr>
        <w:t xml:space="preserve"> </w:t>
      </w:r>
      <w:r w:rsidR="00734688" w:rsidRPr="00505A9F">
        <w:rPr>
          <w:rFonts w:ascii="BNPP Sans Light" w:hAnsi="BNPP Sans Light"/>
          <w:color w:val="000000" w:themeColor="text1"/>
          <w:sz w:val="21"/>
          <w:szCs w:val="21"/>
          <w:lang w:val="en-GB"/>
        </w:rPr>
        <w:t>th</w:t>
      </w:r>
      <w:r w:rsidR="00D55F28">
        <w:rPr>
          <w:rFonts w:ascii="BNPP Sans Light" w:hAnsi="BNPP Sans Light"/>
          <w:color w:val="000000" w:themeColor="text1"/>
          <w:sz w:val="21"/>
          <w:szCs w:val="21"/>
          <w:lang w:val="en-GB"/>
        </w:rPr>
        <w:t>ese rank</w:t>
      </w:r>
      <w:r w:rsidR="00E90B1C">
        <w:rPr>
          <w:rFonts w:ascii="BNPP Sans Light" w:hAnsi="BNPP Sans Light"/>
          <w:color w:val="000000" w:themeColor="text1"/>
          <w:sz w:val="21"/>
          <w:szCs w:val="21"/>
          <w:lang w:val="en-GB"/>
        </w:rPr>
        <w:t xml:space="preserve"> </w:t>
      </w:r>
      <w:r w:rsidR="00A612CB">
        <w:rPr>
          <w:rFonts w:ascii="BNPP Sans Light" w:hAnsi="BNPP Sans Light"/>
          <w:color w:val="000000" w:themeColor="text1"/>
          <w:sz w:val="21"/>
          <w:szCs w:val="21"/>
          <w:lang w:val="en-GB"/>
        </w:rPr>
        <w:t>among</w:t>
      </w:r>
      <w:r w:rsidR="00E90B1C">
        <w:rPr>
          <w:rFonts w:ascii="BNPP Sans Light" w:hAnsi="BNPP Sans Light"/>
          <w:color w:val="000000" w:themeColor="text1"/>
          <w:sz w:val="21"/>
          <w:szCs w:val="21"/>
          <w:lang w:val="en-GB"/>
        </w:rPr>
        <w:t xml:space="preserve"> their</w:t>
      </w:r>
      <w:r w:rsidR="00242A8B">
        <w:rPr>
          <w:rFonts w:ascii="BNPP Sans Light" w:hAnsi="BNPP Sans Light"/>
          <w:color w:val="000000" w:themeColor="text1"/>
          <w:sz w:val="21"/>
          <w:szCs w:val="21"/>
          <w:lang w:val="en-GB"/>
        </w:rPr>
        <w:t xml:space="preserve"> three highest</w:t>
      </w:r>
      <w:r w:rsidR="00734688" w:rsidRPr="00505A9F">
        <w:rPr>
          <w:rFonts w:ascii="BNPP Sans Light" w:hAnsi="BNPP Sans Light"/>
          <w:color w:val="000000" w:themeColor="text1"/>
          <w:sz w:val="21"/>
          <w:szCs w:val="21"/>
          <w:lang w:val="en-GB"/>
        </w:rPr>
        <w:t xml:space="preserve"> priorit</w:t>
      </w:r>
      <w:r w:rsidR="00242A8B">
        <w:rPr>
          <w:rFonts w:ascii="BNPP Sans Light" w:hAnsi="BNPP Sans Light"/>
          <w:color w:val="000000" w:themeColor="text1"/>
          <w:sz w:val="21"/>
          <w:szCs w:val="21"/>
          <w:lang w:val="en-GB"/>
        </w:rPr>
        <w:t>ies</w:t>
      </w:r>
      <w:r w:rsidR="00734688" w:rsidRPr="00505A9F">
        <w:rPr>
          <w:rFonts w:ascii="BNPP Sans Light" w:hAnsi="BNPP Sans Light"/>
          <w:color w:val="000000" w:themeColor="text1"/>
          <w:sz w:val="21"/>
          <w:szCs w:val="21"/>
          <w:lang w:val="en-GB"/>
        </w:rPr>
        <w:t>.</w:t>
      </w:r>
    </w:p>
    <w:p w14:paraId="6038D143" w14:textId="77777777" w:rsidR="00ED7169" w:rsidRDefault="00ED7169" w:rsidP="00883F26">
      <w:pPr>
        <w:shd w:val="clear" w:color="auto" w:fill="FFFFFF"/>
        <w:spacing w:line="276" w:lineRule="auto"/>
        <w:rPr>
          <w:rFonts w:ascii="BNPP Sans Light" w:hAnsi="BNPP Sans Light"/>
          <w:color w:val="000000" w:themeColor="text1"/>
          <w:sz w:val="21"/>
          <w:szCs w:val="21"/>
          <w:lang w:val="en-GB"/>
        </w:rPr>
      </w:pPr>
    </w:p>
    <w:p w14:paraId="2E25F788" w14:textId="77777777" w:rsidR="00ED7169" w:rsidRDefault="00ED7169" w:rsidP="00ED7169">
      <w:pPr>
        <w:shd w:val="clear" w:color="auto" w:fill="FFFFFF"/>
        <w:spacing w:line="276" w:lineRule="auto"/>
        <w:rPr>
          <w:rFonts w:ascii="BNPP Sans Light" w:hAnsi="BNPP Sans Light"/>
          <w:color w:val="000000" w:themeColor="text1"/>
          <w:sz w:val="21"/>
          <w:szCs w:val="21"/>
          <w:lang w:val="en-GB"/>
        </w:rPr>
      </w:pPr>
      <w:r w:rsidRPr="00940287">
        <w:rPr>
          <w:rFonts w:ascii="BNPP Sans Light" w:hAnsi="BNPP Sans Light"/>
          <w:color w:val="000000" w:themeColor="text1"/>
          <w:sz w:val="21"/>
          <w:szCs w:val="21"/>
          <w:lang w:val="en-GB"/>
        </w:rPr>
        <w:t xml:space="preserve">Investors were keen to see greater focus on social issues within ESG engagement </w:t>
      </w:r>
      <w:r>
        <w:rPr>
          <w:rFonts w:ascii="BNPP Sans Light" w:hAnsi="BNPP Sans Light"/>
          <w:color w:val="000000" w:themeColor="text1"/>
          <w:sz w:val="21"/>
          <w:szCs w:val="21"/>
          <w:lang w:val="en-GB"/>
        </w:rPr>
        <w:t>and</w:t>
      </w:r>
      <w:r w:rsidRPr="00940287">
        <w:rPr>
          <w:rFonts w:ascii="BNPP Sans Light" w:hAnsi="BNPP Sans Light"/>
          <w:color w:val="000000" w:themeColor="text1"/>
          <w:sz w:val="21"/>
          <w:szCs w:val="21"/>
          <w:lang w:val="en-GB"/>
        </w:rPr>
        <w:t xml:space="preserve"> voting practices, with 43% of respondents wanting more focus on employee rights and 42% on board diversity.  However, wealth management respondents were more focused on environmental issues, with 55% saying they want to see increased disclosure about climate impact, with greenhouse gas emissions prioritised in engagement and stewardship activity.</w:t>
      </w:r>
    </w:p>
    <w:p w14:paraId="6052B208" w14:textId="77777777" w:rsidR="00ED7169" w:rsidRPr="00505A9F" w:rsidRDefault="00ED7169" w:rsidP="00883F26">
      <w:pPr>
        <w:shd w:val="clear" w:color="auto" w:fill="FFFFFF"/>
        <w:spacing w:line="276" w:lineRule="auto"/>
        <w:rPr>
          <w:rFonts w:ascii="BNPP Sans Light" w:hAnsi="BNPP Sans Light"/>
          <w:color w:val="000000" w:themeColor="text1"/>
          <w:sz w:val="21"/>
          <w:szCs w:val="21"/>
          <w:lang w:val="en-GB"/>
        </w:rPr>
      </w:pPr>
    </w:p>
    <w:p w14:paraId="3F24D4CA" w14:textId="4335A5B6" w:rsidR="007218F6" w:rsidRPr="00505A9F" w:rsidRDefault="007218F6" w:rsidP="00C01F2C">
      <w:pPr>
        <w:shd w:val="clear" w:color="auto" w:fill="FFFFFF"/>
        <w:spacing w:line="276" w:lineRule="auto"/>
        <w:rPr>
          <w:rFonts w:ascii="BNPP Sans Light" w:hAnsi="BNPP Sans Light"/>
          <w:color w:val="000000" w:themeColor="text1"/>
          <w:sz w:val="21"/>
          <w:szCs w:val="21"/>
          <w:lang w:val="en-US"/>
        </w:rPr>
      </w:pPr>
      <w:r w:rsidRPr="00505A9F">
        <w:rPr>
          <w:rFonts w:ascii="BNPP Sans Light" w:hAnsi="BNPP Sans Light"/>
          <w:b/>
          <w:bCs/>
          <w:sz w:val="21"/>
          <w:szCs w:val="21"/>
          <w:lang w:val="en-US"/>
        </w:rPr>
        <w:t>ESG integration</w:t>
      </w:r>
      <w:r w:rsidR="00CA0987">
        <w:rPr>
          <w:rFonts w:ascii="BNPP Sans Light" w:hAnsi="BNPP Sans Light"/>
          <w:b/>
          <w:bCs/>
          <w:sz w:val="21"/>
          <w:szCs w:val="21"/>
          <w:lang w:val="en-US"/>
        </w:rPr>
        <w:t xml:space="preserve"> and thematic</w:t>
      </w:r>
      <w:r w:rsidRPr="00505A9F">
        <w:rPr>
          <w:rFonts w:ascii="BNPP Sans Light" w:hAnsi="BNPP Sans Light"/>
          <w:b/>
          <w:bCs/>
          <w:sz w:val="21"/>
          <w:szCs w:val="21"/>
          <w:lang w:val="en-US"/>
        </w:rPr>
        <w:t xml:space="preserve"> preferences differ by client type and country</w:t>
      </w:r>
    </w:p>
    <w:p w14:paraId="56FE44A3" w14:textId="52DA727A" w:rsidR="00734688" w:rsidRDefault="008D0A1B" w:rsidP="00734688">
      <w:pPr>
        <w:shd w:val="clear" w:color="auto" w:fill="FFFFFF"/>
        <w:spacing w:line="276" w:lineRule="auto"/>
        <w:rPr>
          <w:rFonts w:ascii="BNPP Sans Light" w:hAnsi="BNPP Sans Light"/>
          <w:color w:val="000000" w:themeColor="text1"/>
          <w:sz w:val="21"/>
          <w:szCs w:val="21"/>
          <w:lang w:val="en-GB"/>
        </w:rPr>
      </w:pPr>
      <w:r>
        <w:rPr>
          <w:rFonts w:ascii="BNPP Sans Light" w:hAnsi="BNPP Sans Light"/>
          <w:color w:val="000000" w:themeColor="text1"/>
          <w:sz w:val="21"/>
          <w:szCs w:val="21"/>
          <w:lang w:val="en-GB"/>
        </w:rPr>
        <w:t>When it came</w:t>
      </w:r>
      <w:r w:rsidR="00E90B1C" w:rsidRPr="00E90B1C">
        <w:rPr>
          <w:rFonts w:ascii="BNPP Sans Light" w:hAnsi="BNPP Sans Light"/>
          <w:color w:val="000000" w:themeColor="text1"/>
          <w:sz w:val="21"/>
          <w:szCs w:val="21"/>
          <w:lang w:val="en-GB"/>
        </w:rPr>
        <w:t xml:space="preserve"> to ESG integration preferences</w:t>
      </w:r>
      <w:r w:rsidR="00734688" w:rsidRPr="00505A9F">
        <w:rPr>
          <w:rFonts w:ascii="BNPP Sans Light" w:hAnsi="BNPP Sans Light"/>
          <w:color w:val="000000" w:themeColor="text1"/>
          <w:sz w:val="21"/>
          <w:szCs w:val="21"/>
          <w:lang w:val="en-GB"/>
        </w:rPr>
        <w:t xml:space="preserve">, </w:t>
      </w:r>
      <w:r>
        <w:rPr>
          <w:rFonts w:ascii="BNPP Sans Light" w:hAnsi="BNPP Sans Light"/>
          <w:color w:val="000000" w:themeColor="text1"/>
          <w:sz w:val="21"/>
          <w:szCs w:val="21"/>
          <w:lang w:val="en-GB"/>
        </w:rPr>
        <w:t>there were</w:t>
      </w:r>
      <w:r w:rsidRPr="00505A9F">
        <w:rPr>
          <w:rFonts w:ascii="BNPP Sans Light" w:hAnsi="BNPP Sans Light"/>
          <w:color w:val="000000" w:themeColor="text1"/>
          <w:sz w:val="21"/>
          <w:szCs w:val="21"/>
          <w:lang w:val="en-GB"/>
        </w:rPr>
        <w:t xml:space="preserve"> </w:t>
      </w:r>
      <w:r w:rsidR="00734688" w:rsidRPr="00505A9F">
        <w:rPr>
          <w:rFonts w:ascii="BNPP Sans Light" w:hAnsi="BNPP Sans Light"/>
          <w:color w:val="000000" w:themeColor="text1"/>
          <w:sz w:val="21"/>
          <w:szCs w:val="21"/>
          <w:lang w:val="en-GB"/>
        </w:rPr>
        <w:t>notable differences between client type and country.</w:t>
      </w:r>
      <w:r w:rsidR="00F34454">
        <w:rPr>
          <w:rFonts w:ascii="BNPP Sans Light" w:hAnsi="BNPP Sans Light"/>
          <w:color w:val="000000" w:themeColor="text1"/>
          <w:sz w:val="21"/>
          <w:szCs w:val="21"/>
          <w:lang w:val="en-GB"/>
        </w:rPr>
        <w:t xml:space="preserve"> </w:t>
      </w:r>
      <w:r w:rsidR="00734688" w:rsidRPr="00505A9F">
        <w:rPr>
          <w:rFonts w:ascii="BNPP Sans Light" w:hAnsi="BNPP Sans Light"/>
          <w:color w:val="000000" w:themeColor="text1"/>
          <w:sz w:val="21"/>
          <w:szCs w:val="21"/>
          <w:lang w:val="en-GB"/>
        </w:rPr>
        <w:t xml:space="preserve"> </w:t>
      </w:r>
      <w:r w:rsidR="00734688" w:rsidRPr="00841BF2">
        <w:rPr>
          <w:rFonts w:ascii="BNPP Sans Light" w:hAnsi="BNPP Sans Light"/>
          <w:color w:val="000000" w:themeColor="text1"/>
          <w:sz w:val="21"/>
          <w:szCs w:val="21"/>
          <w:lang w:val="en-GB"/>
        </w:rPr>
        <w:t xml:space="preserve">A thematic approach to ESG investing was found to be a key approach for Swiss (72%) and UK (68%) respondents, but less so for French respondents (36%). </w:t>
      </w:r>
      <w:r w:rsidR="00F34454">
        <w:rPr>
          <w:rFonts w:ascii="BNPP Sans Light" w:hAnsi="BNPP Sans Light"/>
          <w:color w:val="000000" w:themeColor="text1"/>
          <w:sz w:val="21"/>
          <w:szCs w:val="21"/>
          <w:lang w:val="en-GB"/>
        </w:rPr>
        <w:t xml:space="preserve"> </w:t>
      </w:r>
      <w:r w:rsidR="00734688" w:rsidRPr="00841BF2">
        <w:rPr>
          <w:rFonts w:ascii="BNPP Sans Light" w:hAnsi="BNPP Sans Light"/>
          <w:color w:val="000000" w:themeColor="text1"/>
          <w:sz w:val="21"/>
          <w:szCs w:val="21"/>
          <w:lang w:val="en-GB"/>
        </w:rPr>
        <w:t>Wealth management (63%) respondents were most likely to cite impact investing as important, while asset managers (57%) view engagement and stewardship as the most important aspect of ESG integration.</w:t>
      </w:r>
    </w:p>
    <w:p w14:paraId="675AB09C" w14:textId="77777777" w:rsidR="00775418" w:rsidRDefault="00775418" w:rsidP="00734688">
      <w:pPr>
        <w:shd w:val="clear" w:color="auto" w:fill="FFFFFF"/>
        <w:spacing w:line="276" w:lineRule="auto"/>
        <w:rPr>
          <w:rFonts w:ascii="BNPP Sans Light" w:hAnsi="BNPP Sans Light"/>
          <w:color w:val="000000" w:themeColor="text1"/>
          <w:sz w:val="21"/>
          <w:szCs w:val="21"/>
          <w:lang w:val="en-GB"/>
        </w:rPr>
      </w:pPr>
    </w:p>
    <w:p w14:paraId="66A5AC80" w14:textId="4112CB0F" w:rsidR="00775418" w:rsidRPr="00505A9F" w:rsidRDefault="00F97AD5" w:rsidP="00734688">
      <w:pPr>
        <w:shd w:val="clear" w:color="auto" w:fill="FFFFFF"/>
        <w:spacing w:line="276" w:lineRule="auto"/>
        <w:rPr>
          <w:rFonts w:ascii="BNPP Sans Light" w:hAnsi="BNPP Sans Light"/>
          <w:color w:val="000000" w:themeColor="text1"/>
          <w:sz w:val="21"/>
          <w:szCs w:val="21"/>
          <w:lang w:val="en-GB"/>
        </w:rPr>
      </w:pPr>
      <w:r>
        <w:rPr>
          <w:rFonts w:ascii="BNPP Sans Light" w:hAnsi="BNPP Sans Light"/>
          <w:color w:val="000000" w:themeColor="text1"/>
          <w:sz w:val="21"/>
          <w:szCs w:val="21"/>
          <w:lang w:val="en-GB"/>
        </w:rPr>
        <w:t>When asked which themes they were most interested in</w:t>
      </w:r>
      <w:r w:rsidR="00775418" w:rsidRPr="00775418">
        <w:rPr>
          <w:rFonts w:ascii="BNPP Sans Light" w:hAnsi="BNPP Sans Light"/>
          <w:color w:val="000000" w:themeColor="text1"/>
          <w:sz w:val="21"/>
          <w:szCs w:val="21"/>
          <w:lang w:val="en-GB"/>
        </w:rPr>
        <w:t>, the strongest appetite</w:t>
      </w:r>
      <w:r>
        <w:rPr>
          <w:rFonts w:ascii="BNPP Sans Light" w:hAnsi="BNPP Sans Light"/>
          <w:color w:val="000000" w:themeColor="text1"/>
          <w:sz w:val="21"/>
          <w:szCs w:val="21"/>
          <w:lang w:val="en-GB"/>
        </w:rPr>
        <w:t xml:space="preserve"> among respondents</w:t>
      </w:r>
      <w:r w:rsidR="00775418" w:rsidRPr="00775418">
        <w:rPr>
          <w:rFonts w:ascii="BNPP Sans Light" w:hAnsi="BNPP Sans Light"/>
          <w:color w:val="000000" w:themeColor="text1"/>
          <w:sz w:val="21"/>
          <w:szCs w:val="21"/>
          <w:lang w:val="en-GB"/>
        </w:rPr>
        <w:t xml:space="preserve"> was for the circular economy</w:t>
      </w:r>
      <w:r w:rsidR="00F34454">
        <w:rPr>
          <w:rFonts w:ascii="BNPP Sans Light" w:hAnsi="BNPP Sans Light"/>
          <w:color w:val="000000" w:themeColor="text1"/>
          <w:sz w:val="21"/>
          <w:szCs w:val="21"/>
          <w:lang w:val="en-GB"/>
        </w:rPr>
        <w:t xml:space="preserve">.  Overall, </w:t>
      </w:r>
      <w:r w:rsidR="00775418" w:rsidRPr="00775418">
        <w:rPr>
          <w:rFonts w:ascii="BNPP Sans Light" w:hAnsi="BNPP Sans Light"/>
          <w:color w:val="000000" w:themeColor="text1"/>
          <w:sz w:val="21"/>
          <w:szCs w:val="21"/>
          <w:lang w:val="en-GB"/>
        </w:rPr>
        <w:t>61% of respondents expect</w:t>
      </w:r>
      <w:r w:rsidR="00F34454">
        <w:rPr>
          <w:rFonts w:ascii="BNPP Sans Light" w:hAnsi="BNPP Sans Light"/>
          <w:color w:val="000000" w:themeColor="text1"/>
          <w:sz w:val="21"/>
          <w:szCs w:val="21"/>
          <w:lang w:val="en-GB"/>
        </w:rPr>
        <w:t xml:space="preserve"> this</w:t>
      </w:r>
      <w:r w:rsidR="00775418" w:rsidRPr="00775418">
        <w:rPr>
          <w:rFonts w:ascii="BNPP Sans Light" w:hAnsi="BNPP Sans Light"/>
          <w:color w:val="000000" w:themeColor="text1"/>
          <w:sz w:val="21"/>
          <w:szCs w:val="21"/>
          <w:lang w:val="en-GB"/>
        </w:rPr>
        <w:t xml:space="preserve"> to be their primary focus over the next 12 months, with the greatest demand seen from those in Germany (88%), France (66%) and Italy (62%). </w:t>
      </w:r>
      <w:r w:rsidR="00F34454">
        <w:rPr>
          <w:rFonts w:ascii="BNPP Sans Light" w:hAnsi="BNPP Sans Light"/>
          <w:color w:val="000000" w:themeColor="text1"/>
          <w:sz w:val="21"/>
          <w:szCs w:val="21"/>
          <w:lang w:val="en-GB"/>
        </w:rPr>
        <w:t xml:space="preserve"> </w:t>
      </w:r>
      <w:r w:rsidR="00775418" w:rsidRPr="00775418">
        <w:rPr>
          <w:rFonts w:ascii="BNPP Sans Light" w:hAnsi="BNPP Sans Light"/>
          <w:color w:val="000000" w:themeColor="text1"/>
          <w:sz w:val="21"/>
          <w:szCs w:val="21"/>
          <w:lang w:val="en-GB"/>
        </w:rPr>
        <w:t xml:space="preserve">Along with the blue (i.e. </w:t>
      </w:r>
      <w:r w:rsidR="00F34454">
        <w:rPr>
          <w:rFonts w:ascii="BNPP Sans Light" w:hAnsi="BNPP Sans Light"/>
          <w:color w:val="000000" w:themeColor="text1"/>
          <w:sz w:val="21"/>
          <w:szCs w:val="21"/>
          <w:lang w:val="en-GB"/>
        </w:rPr>
        <w:t>ocean</w:t>
      </w:r>
      <w:r w:rsidR="00775418" w:rsidRPr="00775418">
        <w:rPr>
          <w:rFonts w:ascii="BNPP Sans Light" w:hAnsi="BNPP Sans Light"/>
          <w:color w:val="000000" w:themeColor="text1"/>
          <w:sz w:val="21"/>
          <w:szCs w:val="21"/>
          <w:lang w:val="en-GB"/>
        </w:rPr>
        <w:t>) economy, the circular economy proved especially popular among asset owners, while asset managers and wealth managers view access to education as a significant focus for their thematic ESG investments.</w:t>
      </w:r>
    </w:p>
    <w:p w14:paraId="0712B435" w14:textId="77777777" w:rsidR="007218F6" w:rsidRPr="00505A9F" w:rsidRDefault="007218F6" w:rsidP="00734688">
      <w:pPr>
        <w:shd w:val="clear" w:color="auto" w:fill="FFFFFF"/>
        <w:spacing w:line="276" w:lineRule="auto"/>
        <w:rPr>
          <w:rFonts w:ascii="BNPP Sans Light" w:hAnsi="BNPP Sans Light"/>
          <w:color w:val="000000" w:themeColor="text1"/>
          <w:sz w:val="21"/>
          <w:szCs w:val="21"/>
          <w:lang w:val="en-GB"/>
        </w:rPr>
      </w:pPr>
    </w:p>
    <w:p w14:paraId="64DEB0A5" w14:textId="6803991D" w:rsidR="00734688" w:rsidRPr="00505A9F" w:rsidRDefault="007218F6" w:rsidP="00734688">
      <w:pPr>
        <w:shd w:val="clear" w:color="auto" w:fill="FFFFFF"/>
        <w:spacing w:line="276" w:lineRule="auto"/>
        <w:rPr>
          <w:rFonts w:ascii="BNPP Sans Light" w:hAnsi="BNPP Sans Light"/>
          <w:b/>
          <w:bCs/>
          <w:sz w:val="21"/>
          <w:szCs w:val="21"/>
          <w:lang w:val="en-US"/>
        </w:rPr>
      </w:pPr>
      <w:r w:rsidRPr="00505A9F">
        <w:rPr>
          <w:rFonts w:ascii="BNPP Sans Light" w:hAnsi="BNPP Sans Light"/>
          <w:b/>
          <w:bCs/>
          <w:sz w:val="21"/>
          <w:szCs w:val="21"/>
          <w:lang w:val="en-US"/>
        </w:rPr>
        <w:t>Next</w:t>
      </w:r>
      <w:r w:rsidR="0006226E">
        <w:rPr>
          <w:rFonts w:ascii="BNPP Sans Light" w:hAnsi="BNPP Sans Light"/>
          <w:b/>
          <w:bCs/>
          <w:sz w:val="21"/>
          <w:szCs w:val="21"/>
          <w:lang w:val="en-US"/>
        </w:rPr>
        <w:t>-</w:t>
      </w:r>
      <w:r w:rsidRPr="00505A9F">
        <w:rPr>
          <w:rFonts w:ascii="BNPP Sans Light" w:hAnsi="BNPP Sans Light"/>
          <w:b/>
          <w:bCs/>
          <w:sz w:val="21"/>
          <w:szCs w:val="21"/>
          <w:lang w:val="en-US"/>
        </w:rPr>
        <w:t xml:space="preserve">generation thematic ETFs </w:t>
      </w:r>
      <w:r w:rsidR="0006226E">
        <w:rPr>
          <w:rFonts w:ascii="BNPP Sans Light" w:hAnsi="BNPP Sans Light"/>
          <w:b/>
          <w:bCs/>
          <w:sz w:val="21"/>
          <w:szCs w:val="21"/>
          <w:lang w:val="en-US"/>
        </w:rPr>
        <w:t>increasingly seen as</w:t>
      </w:r>
      <w:r w:rsidR="0006226E" w:rsidRPr="00505A9F">
        <w:rPr>
          <w:rFonts w:ascii="BNPP Sans Light" w:hAnsi="BNPP Sans Light"/>
          <w:b/>
          <w:bCs/>
          <w:sz w:val="21"/>
          <w:szCs w:val="21"/>
          <w:lang w:val="en-US"/>
        </w:rPr>
        <w:t xml:space="preserve"> </w:t>
      </w:r>
      <w:r w:rsidRPr="00505A9F">
        <w:rPr>
          <w:rFonts w:ascii="BNPP Sans Light" w:hAnsi="BNPP Sans Light"/>
          <w:b/>
          <w:bCs/>
          <w:sz w:val="21"/>
          <w:szCs w:val="21"/>
          <w:lang w:val="en-US"/>
        </w:rPr>
        <w:t>active strategies</w:t>
      </w:r>
    </w:p>
    <w:p w14:paraId="37A20C87" w14:textId="7DDD8930" w:rsidR="0006085A" w:rsidRDefault="0006085A" w:rsidP="0006085A">
      <w:pPr>
        <w:shd w:val="clear" w:color="auto" w:fill="FFFFFF"/>
        <w:spacing w:line="276" w:lineRule="auto"/>
        <w:rPr>
          <w:rFonts w:ascii="BNPP Sans Light" w:hAnsi="BNPP Sans Light"/>
          <w:color w:val="000000" w:themeColor="text1"/>
          <w:sz w:val="21"/>
          <w:szCs w:val="21"/>
          <w:lang w:val="en-GB"/>
        </w:rPr>
      </w:pPr>
      <w:r w:rsidRPr="00505A9F">
        <w:rPr>
          <w:rFonts w:ascii="BNPP Sans Light" w:hAnsi="BNPP Sans Light"/>
          <w:color w:val="000000" w:themeColor="text1"/>
          <w:sz w:val="21"/>
          <w:szCs w:val="21"/>
          <w:lang w:val="en-GB"/>
        </w:rPr>
        <w:t xml:space="preserve">Whereas </w:t>
      </w:r>
      <w:r w:rsidR="00022709" w:rsidRPr="00505A9F">
        <w:rPr>
          <w:rFonts w:ascii="BNPP Sans Light" w:hAnsi="BNPP Sans Light"/>
          <w:color w:val="000000" w:themeColor="text1"/>
          <w:sz w:val="21"/>
          <w:szCs w:val="21"/>
          <w:lang w:val="en-GB"/>
        </w:rPr>
        <w:t xml:space="preserve">traditional </w:t>
      </w:r>
      <w:r w:rsidRPr="00505A9F">
        <w:rPr>
          <w:rFonts w:ascii="BNPP Sans Light" w:hAnsi="BNPP Sans Light"/>
          <w:color w:val="000000" w:themeColor="text1"/>
          <w:sz w:val="21"/>
          <w:szCs w:val="21"/>
          <w:lang w:val="en-GB"/>
        </w:rPr>
        <w:t xml:space="preserve">ETFs </w:t>
      </w:r>
      <w:r w:rsidR="000F0C9F" w:rsidRPr="00505A9F">
        <w:rPr>
          <w:rFonts w:ascii="BNPP Sans Light" w:hAnsi="BNPP Sans Light"/>
          <w:color w:val="000000" w:themeColor="text1"/>
          <w:sz w:val="21"/>
          <w:szCs w:val="21"/>
          <w:lang w:val="en-GB"/>
        </w:rPr>
        <w:t xml:space="preserve">have </w:t>
      </w:r>
      <w:r w:rsidRPr="00505A9F">
        <w:rPr>
          <w:rFonts w:ascii="BNPP Sans Light" w:hAnsi="BNPP Sans Light"/>
          <w:color w:val="000000" w:themeColor="text1"/>
          <w:sz w:val="21"/>
          <w:szCs w:val="21"/>
          <w:lang w:val="en-GB"/>
        </w:rPr>
        <w:t xml:space="preserve">historically </w:t>
      </w:r>
      <w:r w:rsidR="000F0C9F" w:rsidRPr="00505A9F">
        <w:rPr>
          <w:rFonts w:ascii="BNPP Sans Light" w:hAnsi="BNPP Sans Light"/>
          <w:color w:val="000000" w:themeColor="text1"/>
          <w:sz w:val="21"/>
          <w:szCs w:val="21"/>
          <w:lang w:val="en-GB"/>
        </w:rPr>
        <w:t xml:space="preserve">been </w:t>
      </w:r>
      <w:r w:rsidRPr="00505A9F">
        <w:rPr>
          <w:rFonts w:ascii="BNPP Sans Light" w:hAnsi="BNPP Sans Light"/>
          <w:color w:val="000000" w:themeColor="text1"/>
          <w:sz w:val="21"/>
          <w:szCs w:val="21"/>
          <w:lang w:val="en-GB"/>
        </w:rPr>
        <w:t xml:space="preserve">considered </w:t>
      </w:r>
      <w:r w:rsidR="000F0C9F" w:rsidRPr="00505A9F">
        <w:rPr>
          <w:rFonts w:ascii="BNPP Sans Light" w:hAnsi="BNPP Sans Light"/>
          <w:color w:val="000000" w:themeColor="text1"/>
          <w:sz w:val="21"/>
          <w:szCs w:val="21"/>
          <w:lang w:val="en-GB"/>
        </w:rPr>
        <w:t xml:space="preserve">to be </w:t>
      </w:r>
      <w:r w:rsidRPr="00505A9F">
        <w:rPr>
          <w:rFonts w:ascii="BNPP Sans Light" w:hAnsi="BNPP Sans Light"/>
          <w:color w:val="000000" w:themeColor="text1"/>
          <w:sz w:val="21"/>
          <w:szCs w:val="21"/>
          <w:lang w:val="en-GB"/>
        </w:rPr>
        <w:t xml:space="preserve">passive investments, </w:t>
      </w:r>
      <w:r w:rsidR="00A937C0">
        <w:rPr>
          <w:rFonts w:ascii="BNPP Sans Light" w:hAnsi="BNPP Sans Light"/>
          <w:color w:val="000000" w:themeColor="text1"/>
          <w:sz w:val="21"/>
          <w:szCs w:val="21"/>
          <w:lang w:val="en-GB"/>
        </w:rPr>
        <w:t xml:space="preserve">the survey suggested that </w:t>
      </w:r>
      <w:r w:rsidRPr="00505A9F">
        <w:rPr>
          <w:rFonts w:ascii="BNPP Sans Light" w:hAnsi="BNPP Sans Light"/>
          <w:color w:val="000000" w:themeColor="text1"/>
          <w:sz w:val="21"/>
          <w:szCs w:val="21"/>
          <w:lang w:val="en-GB"/>
        </w:rPr>
        <w:t>next</w:t>
      </w:r>
      <w:r w:rsidR="00A937C0">
        <w:rPr>
          <w:rFonts w:ascii="BNPP Sans Light" w:hAnsi="BNPP Sans Light"/>
          <w:color w:val="000000" w:themeColor="text1"/>
          <w:sz w:val="21"/>
          <w:szCs w:val="21"/>
          <w:lang w:val="en-GB"/>
        </w:rPr>
        <w:t>-</w:t>
      </w:r>
      <w:r w:rsidRPr="00505A9F">
        <w:rPr>
          <w:rFonts w:ascii="BNPP Sans Light" w:hAnsi="BNPP Sans Light"/>
          <w:color w:val="000000" w:themeColor="text1"/>
          <w:sz w:val="21"/>
          <w:szCs w:val="21"/>
          <w:lang w:val="en-GB"/>
        </w:rPr>
        <w:t xml:space="preserve">generation thematic ETFs are increasingly </w:t>
      </w:r>
      <w:r w:rsidR="000F0C9F" w:rsidRPr="00505A9F">
        <w:rPr>
          <w:rFonts w:ascii="BNPP Sans Light" w:hAnsi="BNPP Sans Light"/>
          <w:color w:val="000000" w:themeColor="text1"/>
          <w:sz w:val="21"/>
          <w:szCs w:val="21"/>
          <w:lang w:val="en-GB"/>
        </w:rPr>
        <w:t>thought of as</w:t>
      </w:r>
      <w:r w:rsidRPr="00505A9F">
        <w:rPr>
          <w:rFonts w:ascii="BNPP Sans Light" w:hAnsi="BNPP Sans Light"/>
          <w:color w:val="000000" w:themeColor="text1"/>
          <w:sz w:val="21"/>
          <w:szCs w:val="21"/>
          <w:lang w:val="en-GB"/>
        </w:rPr>
        <w:t xml:space="preserve"> active, </w:t>
      </w:r>
      <w:r w:rsidR="000F0C9F" w:rsidRPr="00505A9F">
        <w:rPr>
          <w:rFonts w:ascii="BNPP Sans Light" w:hAnsi="BNPP Sans Light"/>
          <w:color w:val="000000" w:themeColor="text1"/>
          <w:sz w:val="21"/>
          <w:szCs w:val="21"/>
          <w:lang w:val="en-GB"/>
        </w:rPr>
        <w:t xml:space="preserve">as investors seek </w:t>
      </w:r>
      <w:r w:rsidR="00A937C0">
        <w:rPr>
          <w:rFonts w:ascii="BNPP Sans Light" w:hAnsi="BNPP Sans Light"/>
          <w:color w:val="000000" w:themeColor="text1"/>
          <w:sz w:val="21"/>
          <w:szCs w:val="21"/>
          <w:lang w:val="en-GB"/>
        </w:rPr>
        <w:t>to capitalise upon</w:t>
      </w:r>
      <w:r w:rsidR="000F0C9F" w:rsidRPr="00505A9F">
        <w:rPr>
          <w:rFonts w:ascii="BNPP Sans Light" w:hAnsi="BNPP Sans Light"/>
          <w:color w:val="000000" w:themeColor="text1"/>
          <w:sz w:val="21"/>
          <w:szCs w:val="21"/>
          <w:lang w:val="en-GB"/>
        </w:rPr>
        <w:t xml:space="preserve"> long</w:t>
      </w:r>
      <w:r w:rsidR="00A937C0">
        <w:rPr>
          <w:rFonts w:ascii="BNPP Sans Light" w:hAnsi="BNPP Sans Light"/>
          <w:color w:val="000000" w:themeColor="text1"/>
          <w:sz w:val="21"/>
          <w:szCs w:val="21"/>
          <w:lang w:val="en-GB"/>
        </w:rPr>
        <w:t>-</w:t>
      </w:r>
      <w:r w:rsidR="000F0C9F" w:rsidRPr="00505A9F">
        <w:rPr>
          <w:rFonts w:ascii="BNPP Sans Light" w:hAnsi="BNPP Sans Light"/>
          <w:color w:val="000000" w:themeColor="text1"/>
          <w:sz w:val="21"/>
          <w:szCs w:val="21"/>
          <w:lang w:val="en-GB"/>
        </w:rPr>
        <w:t>term megatrends represented by niche indices.</w:t>
      </w:r>
      <w:r w:rsidR="00022709" w:rsidRPr="00505A9F">
        <w:rPr>
          <w:rFonts w:ascii="BNPP Sans Light" w:hAnsi="BNPP Sans Light"/>
          <w:color w:val="000000" w:themeColor="text1"/>
          <w:sz w:val="21"/>
          <w:szCs w:val="21"/>
          <w:lang w:val="en-GB"/>
        </w:rPr>
        <w:t xml:space="preserve"> </w:t>
      </w:r>
      <w:r w:rsidR="00F34454">
        <w:rPr>
          <w:rFonts w:ascii="BNPP Sans Light" w:hAnsi="BNPP Sans Light"/>
          <w:color w:val="000000" w:themeColor="text1"/>
          <w:sz w:val="21"/>
          <w:szCs w:val="21"/>
          <w:lang w:val="en-GB"/>
        </w:rPr>
        <w:t xml:space="preserve"> </w:t>
      </w:r>
      <w:r w:rsidR="00780895">
        <w:rPr>
          <w:rFonts w:ascii="BNPP Sans Light" w:hAnsi="BNPP Sans Light"/>
          <w:color w:val="000000" w:themeColor="text1"/>
          <w:sz w:val="21"/>
          <w:szCs w:val="21"/>
          <w:lang w:val="en-GB"/>
        </w:rPr>
        <w:t>Only 18</w:t>
      </w:r>
      <w:r w:rsidR="000F0C9F" w:rsidRPr="00505A9F">
        <w:rPr>
          <w:rFonts w:ascii="BNPP Sans Light" w:hAnsi="BNPP Sans Light"/>
          <w:color w:val="000000" w:themeColor="text1"/>
          <w:sz w:val="21"/>
          <w:szCs w:val="21"/>
          <w:lang w:val="en-GB"/>
        </w:rPr>
        <w:t xml:space="preserve">% of respondents </w:t>
      </w:r>
      <w:r w:rsidR="00780895">
        <w:rPr>
          <w:rFonts w:ascii="BNPP Sans Light" w:hAnsi="BNPP Sans Light"/>
          <w:color w:val="000000" w:themeColor="text1"/>
          <w:sz w:val="21"/>
          <w:szCs w:val="21"/>
          <w:lang w:val="en-GB"/>
        </w:rPr>
        <w:t>disagreed with a statement that such</w:t>
      </w:r>
      <w:r w:rsidRPr="00505A9F">
        <w:rPr>
          <w:rFonts w:ascii="BNPP Sans Light" w:hAnsi="BNPP Sans Light"/>
          <w:color w:val="000000" w:themeColor="text1"/>
          <w:sz w:val="21"/>
          <w:szCs w:val="21"/>
          <w:lang w:val="en-GB"/>
        </w:rPr>
        <w:t xml:space="preserve"> ETFs </w:t>
      </w:r>
      <w:r w:rsidR="00780895">
        <w:rPr>
          <w:rFonts w:ascii="BNPP Sans Light" w:hAnsi="BNPP Sans Light"/>
          <w:color w:val="000000" w:themeColor="text1"/>
          <w:sz w:val="21"/>
          <w:szCs w:val="21"/>
          <w:lang w:val="en-GB"/>
        </w:rPr>
        <w:t>are</w:t>
      </w:r>
      <w:r w:rsidR="000F0C9F" w:rsidRPr="00505A9F">
        <w:rPr>
          <w:rFonts w:ascii="BNPP Sans Light" w:hAnsi="BNPP Sans Light"/>
          <w:color w:val="000000" w:themeColor="text1"/>
          <w:sz w:val="21"/>
          <w:szCs w:val="21"/>
          <w:lang w:val="en-GB"/>
        </w:rPr>
        <w:t xml:space="preserve"> </w:t>
      </w:r>
      <w:r w:rsidRPr="00505A9F">
        <w:rPr>
          <w:rFonts w:ascii="BNPP Sans Light" w:hAnsi="BNPP Sans Light"/>
          <w:color w:val="000000" w:themeColor="text1"/>
          <w:sz w:val="21"/>
          <w:szCs w:val="21"/>
          <w:lang w:val="en-GB"/>
        </w:rPr>
        <w:t>active strateg</w:t>
      </w:r>
      <w:r w:rsidR="000F0C9F" w:rsidRPr="00505A9F">
        <w:rPr>
          <w:rFonts w:ascii="BNPP Sans Light" w:hAnsi="BNPP Sans Light"/>
          <w:color w:val="000000" w:themeColor="text1"/>
          <w:sz w:val="21"/>
          <w:szCs w:val="21"/>
          <w:lang w:val="en-GB"/>
        </w:rPr>
        <w:t>ies.</w:t>
      </w:r>
    </w:p>
    <w:p w14:paraId="5EC77B38" w14:textId="35A17F52" w:rsidR="0006085A" w:rsidRPr="00505A9F" w:rsidRDefault="0006085A" w:rsidP="0006085A">
      <w:pPr>
        <w:shd w:val="clear" w:color="auto" w:fill="FFFFFF"/>
        <w:spacing w:line="276" w:lineRule="auto"/>
        <w:rPr>
          <w:rFonts w:ascii="BNPP Sans Light" w:hAnsi="BNPP Sans Light"/>
          <w:color w:val="000000" w:themeColor="text1"/>
          <w:sz w:val="21"/>
          <w:szCs w:val="21"/>
          <w:lang w:val="en-GB"/>
        </w:rPr>
      </w:pPr>
    </w:p>
    <w:p w14:paraId="48C8D427" w14:textId="0904C689" w:rsidR="00074B2F" w:rsidRPr="00505A9F" w:rsidRDefault="00022709" w:rsidP="00022709">
      <w:pPr>
        <w:rPr>
          <w:rFonts w:ascii="BNPP Sans Light" w:hAnsi="BNPP Sans Light"/>
          <w:color w:val="000000" w:themeColor="text1"/>
          <w:sz w:val="21"/>
          <w:szCs w:val="21"/>
          <w:lang w:val="en-GB"/>
        </w:rPr>
      </w:pPr>
      <w:r w:rsidRPr="00505A9F">
        <w:rPr>
          <w:rFonts w:ascii="BNPP Sans Light" w:hAnsi="BNPP Sans Light"/>
          <w:sz w:val="21"/>
          <w:szCs w:val="21"/>
          <w:lang w:val="en-GB"/>
        </w:rPr>
        <w:t xml:space="preserve">BNPP AM has been at the forefront of ESG ETF innovation since 2008, when it </w:t>
      </w:r>
      <w:r w:rsidR="00A937C0">
        <w:rPr>
          <w:rFonts w:ascii="BNPP Sans Light" w:hAnsi="BNPP Sans Light"/>
          <w:sz w:val="21"/>
          <w:szCs w:val="21"/>
          <w:lang w:val="en-GB"/>
        </w:rPr>
        <w:t>became</w:t>
      </w:r>
      <w:r w:rsidR="00A937C0" w:rsidRPr="00505A9F">
        <w:rPr>
          <w:rFonts w:ascii="BNPP Sans Light" w:hAnsi="BNPP Sans Light"/>
          <w:sz w:val="21"/>
          <w:szCs w:val="21"/>
          <w:lang w:val="en-GB"/>
        </w:rPr>
        <w:t xml:space="preserve"> </w:t>
      </w:r>
      <w:r w:rsidRPr="00505A9F">
        <w:rPr>
          <w:rFonts w:ascii="BNPP Sans Light" w:hAnsi="BNPP Sans Light"/>
          <w:sz w:val="21"/>
          <w:szCs w:val="21"/>
          <w:lang w:val="en-GB"/>
        </w:rPr>
        <w:t xml:space="preserve">the first asset manager to </w:t>
      </w:r>
      <w:r w:rsidR="00074B2F" w:rsidRPr="00505A9F">
        <w:rPr>
          <w:rFonts w:ascii="BNPP Sans Light" w:hAnsi="BNPP Sans Light"/>
          <w:color w:val="000000" w:themeColor="text1"/>
          <w:sz w:val="21"/>
          <w:szCs w:val="21"/>
          <w:lang w:val="en-GB"/>
        </w:rPr>
        <w:t>launch a low</w:t>
      </w:r>
      <w:r w:rsidR="00A937C0">
        <w:rPr>
          <w:rFonts w:ascii="BNPP Sans Light" w:hAnsi="BNPP Sans Light"/>
          <w:color w:val="000000" w:themeColor="text1"/>
          <w:sz w:val="21"/>
          <w:szCs w:val="21"/>
          <w:lang w:val="en-GB"/>
        </w:rPr>
        <w:t>-</w:t>
      </w:r>
      <w:r w:rsidR="00074B2F" w:rsidRPr="00505A9F">
        <w:rPr>
          <w:rFonts w:ascii="BNPP Sans Light" w:hAnsi="BNPP Sans Light"/>
          <w:color w:val="000000" w:themeColor="text1"/>
          <w:sz w:val="21"/>
          <w:szCs w:val="21"/>
          <w:lang w:val="en-GB"/>
        </w:rPr>
        <w:t>carbon ETF</w:t>
      </w:r>
      <w:r w:rsidRPr="00505A9F">
        <w:rPr>
          <w:rFonts w:ascii="BNPP Sans Light" w:hAnsi="BNPP Sans Light"/>
          <w:color w:val="000000" w:themeColor="text1"/>
          <w:sz w:val="21"/>
          <w:szCs w:val="21"/>
          <w:lang w:val="en-GB"/>
        </w:rPr>
        <w:t xml:space="preserve">, </w:t>
      </w:r>
      <w:r w:rsidR="00074B2F" w:rsidRPr="00505A9F">
        <w:rPr>
          <w:rFonts w:ascii="BNPP Sans Light" w:hAnsi="BNPP Sans Light"/>
          <w:color w:val="000000" w:themeColor="text1"/>
          <w:sz w:val="21"/>
          <w:szCs w:val="21"/>
          <w:lang w:val="en-GB"/>
        </w:rPr>
        <w:t>BNP Paribas Easy Low Carbon 100 Europe</w:t>
      </w:r>
      <w:r w:rsidRPr="00505A9F">
        <w:rPr>
          <w:rFonts w:ascii="BNPP Sans Light" w:hAnsi="BNPP Sans Light"/>
          <w:color w:val="000000" w:themeColor="text1"/>
          <w:sz w:val="21"/>
          <w:szCs w:val="21"/>
          <w:lang w:val="en-GB"/>
        </w:rPr>
        <w:t xml:space="preserve">. </w:t>
      </w:r>
      <w:r w:rsidR="006E1C9C" w:rsidRPr="00505A9F">
        <w:rPr>
          <w:rFonts w:ascii="BNPP Sans Light" w:hAnsi="BNPP Sans Light"/>
          <w:color w:val="000000" w:themeColor="text1"/>
          <w:sz w:val="21"/>
          <w:szCs w:val="21"/>
          <w:lang w:val="en-GB"/>
        </w:rPr>
        <w:t>In December 2021,</w:t>
      </w:r>
      <w:r w:rsidR="006E1C9C" w:rsidRPr="00505A9F">
        <w:rPr>
          <w:rFonts w:ascii="BNPP Sans Light" w:hAnsi="BNPP Sans Light"/>
          <w:sz w:val="21"/>
          <w:szCs w:val="21"/>
          <w:lang w:val="en-US"/>
        </w:rPr>
        <w:t xml:space="preserve"> BNPP AM upgraded </w:t>
      </w:r>
      <w:r w:rsidR="006E1C9C" w:rsidRPr="00505A9F">
        <w:rPr>
          <w:rFonts w:ascii="BNPP Sans Light" w:hAnsi="BNPP Sans Light"/>
          <w:color w:val="000000" w:themeColor="text1"/>
          <w:sz w:val="21"/>
          <w:szCs w:val="21"/>
          <w:lang w:val="en-GB"/>
        </w:rPr>
        <w:t xml:space="preserve">18 of its ETFs to </w:t>
      </w:r>
      <w:r w:rsidR="00F34454">
        <w:rPr>
          <w:rFonts w:ascii="BNPP Sans Light" w:hAnsi="BNPP Sans Light"/>
          <w:color w:val="000000" w:themeColor="text1"/>
          <w:sz w:val="21"/>
          <w:szCs w:val="21"/>
          <w:lang w:val="en-GB"/>
        </w:rPr>
        <w:t xml:space="preserve">track </w:t>
      </w:r>
      <w:r w:rsidR="006E1C9C" w:rsidRPr="00505A9F">
        <w:rPr>
          <w:rFonts w:ascii="BNPP Sans Light" w:hAnsi="BNPP Sans Light"/>
          <w:color w:val="000000" w:themeColor="text1"/>
          <w:sz w:val="21"/>
          <w:szCs w:val="21"/>
          <w:lang w:val="en-GB"/>
        </w:rPr>
        <w:t xml:space="preserve">ESG indices and Paris-Aligned Benchmarks standards in order to enhance the responsible </w:t>
      </w:r>
      <w:r w:rsidR="0084311E">
        <w:rPr>
          <w:rFonts w:ascii="BNPP Sans Light" w:hAnsi="BNPP Sans Light"/>
          <w:color w:val="000000" w:themeColor="text1"/>
          <w:sz w:val="21"/>
          <w:szCs w:val="21"/>
          <w:lang w:val="en-GB"/>
        </w:rPr>
        <w:t>credentials</w:t>
      </w:r>
      <w:r w:rsidR="0084311E" w:rsidRPr="00505A9F">
        <w:rPr>
          <w:rFonts w:ascii="BNPP Sans Light" w:hAnsi="BNPP Sans Light"/>
          <w:color w:val="000000" w:themeColor="text1"/>
          <w:sz w:val="21"/>
          <w:szCs w:val="21"/>
          <w:lang w:val="en-GB"/>
        </w:rPr>
        <w:t xml:space="preserve"> </w:t>
      </w:r>
      <w:r w:rsidR="006E1C9C" w:rsidRPr="00505A9F">
        <w:rPr>
          <w:rFonts w:ascii="BNPP Sans Light" w:hAnsi="BNPP Sans Light"/>
          <w:color w:val="000000" w:themeColor="text1"/>
          <w:sz w:val="21"/>
          <w:szCs w:val="21"/>
          <w:lang w:val="en-GB"/>
        </w:rPr>
        <w:t xml:space="preserve">of its BNP Paribas Easy range. </w:t>
      </w:r>
      <w:r w:rsidR="00F34454">
        <w:rPr>
          <w:rFonts w:ascii="BNPP Sans Light" w:hAnsi="BNPP Sans Light"/>
          <w:color w:val="000000" w:themeColor="text1"/>
          <w:sz w:val="21"/>
          <w:szCs w:val="21"/>
          <w:lang w:val="en-GB"/>
        </w:rPr>
        <w:t xml:space="preserve"> </w:t>
      </w:r>
      <w:r w:rsidR="006E1C9C" w:rsidRPr="00E11E74">
        <w:rPr>
          <w:rFonts w:ascii="BNPP Sans Light" w:hAnsi="BNPP Sans Light"/>
          <w:color w:val="000000" w:themeColor="text1"/>
          <w:sz w:val="21"/>
          <w:szCs w:val="21"/>
          <w:lang w:val="en-GB"/>
        </w:rPr>
        <w:t>The changes mean that 83% of BNPP AM’s range of index funds</w:t>
      </w:r>
      <w:r w:rsidR="0084311E" w:rsidRPr="00E11E74">
        <w:rPr>
          <w:rFonts w:ascii="BNPP Sans Light" w:hAnsi="BNPP Sans Light"/>
          <w:color w:val="000000" w:themeColor="text1"/>
          <w:sz w:val="21"/>
          <w:szCs w:val="21"/>
          <w:lang w:val="en-GB"/>
        </w:rPr>
        <w:t>,</w:t>
      </w:r>
      <w:r w:rsidR="006E1C9C" w:rsidRPr="00E11E74">
        <w:rPr>
          <w:rFonts w:ascii="BNPP Sans Light" w:hAnsi="BNPP Sans Light"/>
          <w:color w:val="000000" w:themeColor="text1"/>
          <w:sz w:val="21"/>
          <w:szCs w:val="21"/>
          <w:lang w:val="en-GB"/>
        </w:rPr>
        <w:t xml:space="preserve"> </w:t>
      </w:r>
      <w:r w:rsidR="0084311E" w:rsidRPr="00E11E74">
        <w:rPr>
          <w:rFonts w:ascii="BNPP Sans Light" w:hAnsi="BNPP Sans Light"/>
          <w:color w:val="000000" w:themeColor="text1"/>
          <w:sz w:val="21"/>
          <w:szCs w:val="21"/>
          <w:lang w:val="en-GB"/>
        </w:rPr>
        <w:t xml:space="preserve">accounting for </w:t>
      </w:r>
      <w:r w:rsidR="006E1C9C" w:rsidRPr="00E11E74">
        <w:rPr>
          <w:rFonts w:ascii="BNPP Sans Light" w:hAnsi="BNPP Sans Light"/>
          <w:color w:val="000000" w:themeColor="text1"/>
          <w:sz w:val="21"/>
          <w:szCs w:val="21"/>
          <w:lang w:val="en-GB"/>
        </w:rPr>
        <w:t>more than EUR 16 billion</w:t>
      </w:r>
      <w:r w:rsidR="0084311E" w:rsidRPr="00E11E74">
        <w:rPr>
          <w:rFonts w:ascii="BNPP Sans Light" w:hAnsi="BNPP Sans Light"/>
          <w:color w:val="000000" w:themeColor="text1"/>
          <w:sz w:val="21"/>
          <w:szCs w:val="21"/>
          <w:lang w:val="en-GB"/>
        </w:rPr>
        <w:t xml:space="preserve"> of assets,</w:t>
      </w:r>
      <w:r w:rsidR="006E1C9C" w:rsidRPr="00E11E74">
        <w:rPr>
          <w:rFonts w:ascii="BNPP Sans Light" w:hAnsi="BNPP Sans Light"/>
          <w:color w:val="000000" w:themeColor="text1"/>
          <w:sz w:val="21"/>
          <w:szCs w:val="21"/>
          <w:lang w:val="en-GB"/>
        </w:rPr>
        <w:t xml:space="preserve"> are now classified as SFDR Article 8 or Article 9</w:t>
      </w:r>
      <w:r w:rsidR="0084311E" w:rsidRPr="00E11E74">
        <w:rPr>
          <w:rFonts w:ascii="BNPP Sans Light" w:hAnsi="BNPP Sans Light"/>
          <w:color w:val="000000" w:themeColor="text1"/>
          <w:sz w:val="21"/>
          <w:szCs w:val="21"/>
          <w:lang w:val="en-GB"/>
        </w:rPr>
        <w:t xml:space="preserve"> strategies</w:t>
      </w:r>
      <w:r w:rsidR="006E1C9C" w:rsidRPr="00E11E74">
        <w:rPr>
          <w:rFonts w:ascii="BNPP Sans Light" w:hAnsi="BNPP Sans Light"/>
          <w:color w:val="000000" w:themeColor="text1"/>
          <w:sz w:val="21"/>
          <w:szCs w:val="21"/>
          <w:lang w:val="en-GB"/>
        </w:rPr>
        <w:t xml:space="preserve">. </w:t>
      </w:r>
      <w:r w:rsidR="00FA29CC" w:rsidRPr="00E11E74">
        <w:rPr>
          <w:rFonts w:ascii="BNPP Sans Light" w:hAnsi="BNPP Sans Light"/>
          <w:color w:val="000000" w:themeColor="text1"/>
          <w:sz w:val="21"/>
          <w:szCs w:val="21"/>
          <w:lang w:val="en-GB"/>
        </w:rPr>
        <w:t xml:space="preserve">BNPP AM’s </w:t>
      </w:r>
      <w:r w:rsidR="00294496" w:rsidRPr="00E11E74">
        <w:rPr>
          <w:rFonts w:ascii="BNPP Sans Light" w:hAnsi="BNPP Sans Light"/>
          <w:color w:val="000000" w:themeColor="text1"/>
          <w:sz w:val="21"/>
          <w:szCs w:val="21"/>
          <w:lang w:val="en-GB"/>
        </w:rPr>
        <w:t xml:space="preserve">ETF </w:t>
      </w:r>
      <w:r w:rsidR="00074B2F" w:rsidRPr="00E11E74">
        <w:rPr>
          <w:rFonts w:ascii="BNPP Sans Light" w:hAnsi="BNPP Sans Light"/>
          <w:color w:val="000000" w:themeColor="text1"/>
          <w:sz w:val="21"/>
          <w:szCs w:val="21"/>
          <w:lang w:val="en-GB"/>
        </w:rPr>
        <w:t xml:space="preserve">range </w:t>
      </w:r>
      <w:r w:rsidR="00FA29CC" w:rsidRPr="00E11E74">
        <w:rPr>
          <w:rFonts w:ascii="BNPP Sans Light" w:hAnsi="BNPP Sans Light"/>
          <w:color w:val="000000" w:themeColor="text1"/>
          <w:sz w:val="21"/>
          <w:szCs w:val="21"/>
          <w:lang w:val="en-GB"/>
        </w:rPr>
        <w:t xml:space="preserve">now includes </w:t>
      </w:r>
      <w:r w:rsidR="00074B2F" w:rsidRPr="00E11E74">
        <w:rPr>
          <w:rFonts w:ascii="BNPP Sans Light" w:hAnsi="BNPP Sans Light"/>
          <w:color w:val="000000" w:themeColor="text1"/>
          <w:sz w:val="21"/>
          <w:szCs w:val="21"/>
          <w:lang w:val="en-GB"/>
        </w:rPr>
        <w:t xml:space="preserve">themes </w:t>
      </w:r>
      <w:r w:rsidR="00FA29CC" w:rsidRPr="00E11E74">
        <w:rPr>
          <w:rFonts w:ascii="BNPP Sans Light" w:hAnsi="BNPP Sans Light"/>
          <w:color w:val="000000" w:themeColor="text1"/>
          <w:sz w:val="21"/>
          <w:szCs w:val="21"/>
          <w:lang w:val="en-GB"/>
        </w:rPr>
        <w:t xml:space="preserve">such as </w:t>
      </w:r>
      <w:r w:rsidR="00074B2F" w:rsidRPr="00E11E74">
        <w:rPr>
          <w:rFonts w:ascii="BNPP Sans Light" w:hAnsi="BNPP Sans Light"/>
          <w:color w:val="000000" w:themeColor="text1"/>
          <w:sz w:val="21"/>
          <w:szCs w:val="21"/>
          <w:lang w:val="en-GB"/>
        </w:rPr>
        <w:t>the blue economy, green real estate, sustainable infrastructure, medical technology, green hydrogen and the circular economy.</w:t>
      </w:r>
    </w:p>
    <w:p w14:paraId="34646009" w14:textId="09C5107D" w:rsidR="0006085A" w:rsidRDefault="0006085A" w:rsidP="00883F26">
      <w:pPr>
        <w:shd w:val="clear" w:color="auto" w:fill="FFFFFF"/>
        <w:spacing w:line="276" w:lineRule="auto"/>
        <w:rPr>
          <w:rFonts w:ascii="BNPP Sans Light" w:hAnsi="BNPP Sans Light"/>
          <w:color w:val="000000" w:themeColor="text1"/>
          <w:sz w:val="21"/>
          <w:szCs w:val="21"/>
          <w:lang w:val="en-GB"/>
        </w:rPr>
      </w:pPr>
    </w:p>
    <w:p w14:paraId="705D2BC1" w14:textId="5E06EACD" w:rsidR="00B26AD7" w:rsidRPr="00B26AD7" w:rsidRDefault="00B26AD7" w:rsidP="00B26AD7">
      <w:pPr>
        <w:shd w:val="clear" w:color="auto" w:fill="FFFFFF"/>
        <w:spacing w:after="384" w:line="276" w:lineRule="auto"/>
        <w:jc w:val="center"/>
        <w:rPr>
          <w:rFonts w:ascii="BNPP Sans Light" w:hAnsi="BNPP Sans Light"/>
          <w:color w:val="000000" w:themeColor="text1"/>
          <w:sz w:val="21"/>
          <w:szCs w:val="21"/>
          <w:lang w:val="en-GB"/>
        </w:rPr>
      </w:pPr>
      <w:r w:rsidRPr="00B26AD7">
        <w:rPr>
          <w:rFonts w:ascii="BNPP Sans Light" w:hAnsi="BNPP Sans Light"/>
          <w:color w:val="000000" w:themeColor="text1"/>
          <w:sz w:val="21"/>
          <w:szCs w:val="21"/>
          <w:lang w:val="en-GB"/>
        </w:rPr>
        <w:t>- ENDS -</w:t>
      </w:r>
    </w:p>
    <w:p w14:paraId="1A45F9AC" w14:textId="76F1ECB4" w:rsidR="001560DA" w:rsidRPr="00DA10A2" w:rsidRDefault="00117828" w:rsidP="00883F26">
      <w:pPr>
        <w:autoSpaceDE w:val="0"/>
        <w:autoSpaceDN w:val="0"/>
        <w:spacing w:line="276" w:lineRule="auto"/>
        <w:rPr>
          <w:rFonts w:ascii="BNPP Sans Light" w:eastAsia="Times New Roman" w:hAnsi="BNPP Sans Light" w:cs="Arial"/>
          <w:b/>
          <w:bCs/>
          <w:caps/>
          <w:color w:val="00A76C" w:themeColor="accent6"/>
          <w:sz w:val="21"/>
          <w:szCs w:val="21"/>
          <w:lang w:val="en-GB" w:eastAsia="fr-FR"/>
        </w:rPr>
      </w:pPr>
      <w:r w:rsidRPr="00DA10A2">
        <w:rPr>
          <w:rFonts w:ascii="BNPP Sans Light" w:eastAsia="Times New Roman" w:hAnsi="BNPP Sans Light" w:cs="Arial"/>
          <w:b/>
          <w:bCs/>
          <w:caps/>
          <w:color w:val="00A76C" w:themeColor="accent6"/>
          <w:sz w:val="21"/>
          <w:szCs w:val="21"/>
          <w:lang w:val="en-GB" w:eastAsia="fr-FR"/>
        </w:rPr>
        <w:t xml:space="preserve">PRESS </w:t>
      </w:r>
      <w:r w:rsidR="001560DA" w:rsidRPr="00DA10A2">
        <w:rPr>
          <w:rFonts w:ascii="BNPP Sans Light" w:eastAsia="Times New Roman" w:hAnsi="BNPP Sans Light" w:cs="Arial"/>
          <w:b/>
          <w:bCs/>
          <w:caps/>
          <w:color w:val="00A76C" w:themeColor="accent6"/>
          <w:sz w:val="21"/>
          <w:szCs w:val="21"/>
          <w:lang w:val="en-GB" w:eastAsia="fr-FR"/>
        </w:rPr>
        <w:t>contact</w:t>
      </w:r>
    </w:p>
    <w:p w14:paraId="3A0DC096" w14:textId="77777777" w:rsidR="00D72B8D" w:rsidRPr="00DA10A2" w:rsidRDefault="00D72B8D" w:rsidP="00883F26">
      <w:pPr>
        <w:autoSpaceDE w:val="0"/>
        <w:autoSpaceDN w:val="0"/>
        <w:adjustRightInd w:val="0"/>
        <w:spacing w:line="276" w:lineRule="auto"/>
        <w:ind w:right="146"/>
        <w:rPr>
          <w:rFonts w:ascii="BNPP Sans Light" w:eastAsia="Times New Roman" w:hAnsi="BNPP Sans Light" w:cs="Tms Rmn"/>
          <w:b/>
          <w:color w:val="000000"/>
          <w:sz w:val="21"/>
          <w:szCs w:val="21"/>
          <w:lang w:val="en-GB"/>
        </w:rPr>
      </w:pPr>
      <w:r w:rsidRPr="00DA10A2">
        <w:rPr>
          <w:rFonts w:ascii="BNPP Sans Light" w:hAnsi="BNPP Sans Light"/>
          <w:b/>
          <w:color w:val="000000"/>
          <w:sz w:val="21"/>
          <w:szCs w:val="21"/>
          <w:lang w:val="en-GB"/>
        </w:rPr>
        <w:t>BNP Paribas Asset Management</w:t>
      </w:r>
    </w:p>
    <w:p w14:paraId="552A2806" w14:textId="46E529E7" w:rsidR="005B4A79" w:rsidRPr="00DA10A2" w:rsidRDefault="004E511F" w:rsidP="00883F26">
      <w:pPr>
        <w:autoSpaceDE w:val="0"/>
        <w:autoSpaceDN w:val="0"/>
        <w:adjustRightInd w:val="0"/>
        <w:spacing w:line="276" w:lineRule="auto"/>
        <w:ind w:right="146"/>
        <w:rPr>
          <w:rFonts w:ascii="BNPP Sans Light" w:hAnsi="BNPP Sans Light"/>
          <w:sz w:val="21"/>
          <w:szCs w:val="21"/>
          <w:lang w:val="en-GB"/>
        </w:rPr>
      </w:pPr>
      <w:r>
        <w:rPr>
          <w:rFonts w:ascii="BNPP Sans Light" w:hAnsi="BNPP Sans Light"/>
          <w:sz w:val="21"/>
          <w:szCs w:val="21"/>
          <w:lang w:val="en-GB"/>
        </w:rPr>
        <w:t>Quentin Smith</w:t>
      </w:r>
    </w:p>
    <w:p w14:paraId="4D4E48C4" w14:textId="556A7CC8" w:rsidR="005B4A79" w:rsidRPr="00DA10A2" w:rsidRDefault="000667D2" w:rsidP="00883F26">
      <w:pPr>
        <w:autoSpaceDE w:val="0"/>
        <w:autoSpaceDN w:val="0"/>
        <w:adjustRightInd w:val="0"/>
        <w:spacing w:line="276" w:lineRule="auto"/>
        <w:ind w:right="146"/>
        <w:rPr>
          <w:rFonts w:ascii="BNPP Sans Light" w:hAnsi="BNPP Sans Light"/>
          <w:sz w:val="21"/>
          <w:szCs w:val="21"/>
          <w:lang w:val="en-GB"/>
        </w:rPr>
      </w:pPr>
      <w:r>
        <w:rPr>
          <w:rFonts w:ascii="BNPP Sans Light" w:hAnsi="BNPP Sans Light"/>
          <w:sz w:val="21"/>
          <w:szCs w:val="21"/>
          <w:lang w:val="en-GB"/>
        </w:rPr>
        <w:t>+</w:t>
      </w:r>
      <w:r w:rsidR="004E511F">
        <w:rPr>
          <w:rFonts w:ascii="BNPP Sans Light" w:hAnsi="BNPP Sans Light"/>
          <w:sz w:val="21"/>
          <w:szCs w:val="21"/>
          <w:lang w:val="en-GB"/>
        </w:rPr>
        <w:t>44 7827 356 890</w:t>
      </w:r>
    </w:p>
    <w:p w14:paraId="4F4A7832" w14:textId="52192551" w:rsidR="005B4A79" w:rsidRPr="00DA10A2" w:rsidRDefault="00846475" w:rsidP="00883F26">
      <w:pPr>
        <w:autoSpaceDE w:val="0"/>
        <w:autoSpaceDN w:val="0"/>
        <w:adjustRightInd w:val="0"/>
        <w:spacing w:line="276" w:lineRule="auto"/>
        <w:ind w:right="146"/>
        <w:rPr>
          <w:rStyle w:val="Hyperlink"/>
          <w:rFonts w:ascii="BNPP Sans Light" w:hAnsi="BNPP Sans Light"/>
          <w:bCs/>
          <w:sz w:val="21"/>
          <w:szCs w:val="21"/>
          <w:lang w:val="en-GB"/>
        </w:rPr>
      </w:pPr>
      <w:hyperlink r:id="rId11" w:history="1">
        <w:r w:rsidR="00074B2F" w:rsidRPr="002675B5">
          <w:rPr>
            <w:rStyle w:val="Hyperlink"/>
            <w:rFonts w:ascii="BNPP Sans Light" w:hAnsi="BNPP Sans Light"/>
            <w:bCs/>
            <w:sz w:val="21"/>
            <w:szCs w:val="21"/>
            <w:lang w:val="en-GB"/>
          </w:rPr>
          <w:t>quentin.smith@bnpparibas.com</w:t>
        </w:r>
      </w:hyperlink>
    </w:p>
    <w:p w14:paraId="51D2A878" w14:textId="21EF4F9D" w:rsidR="00117828" w:rsidRDefault="00117828" w:rsidP="00883F26">
      <w:pPr>
        <w:autoSpaceDE w:val="0"/>
        <w:autoSpaceDN w:val="0"/>
        <w:adjustRightInd w:val="0"/>
        <w:spacing w:line="276" w:lineRule="auto"/>
        <w:ind w:right="146"/>
        <w:rPr>
          <w:rFonts w:ascii="BNPP Sans Light" w:hAnsi="BNPP Sans Light"/>
          <w:sz w:val="21"/>
          <w:szCs w:val="21"/>
          <w:lang w:val="en-GB"/>
        </w:rPr>
      </w:pPr>
    </w:p>
    <w:p w14:paraId="337927A5" w14:textId="551A9D65" w:rsidR="00117828" w:rsidRPr="00DA10A2" w:rsidRDefault="00117828" w:rsidP="00883F26">
      <w:pPr>
        <w:spacing w:line="276" w:lineRule="auto"/>
        <w:ind w:right="146"/>
        <w:rPr>
          <w:rFonts w:ascii="BNPP Sans Light" w:eastAsia="Arial" w:hAnsi="BNPP Sans Light" w:cs="Arial"/>
          <w:b/>
          <w:bCs/>
          <w:color w:val="00A76C"/>
          <w:sz w:val="20"/>
          <w:lang w:val="en-GB"/>
        </w:rPr>
      </w:pPr>
      <w:r w:rsidRPr="00DA10A2">
        <w:rPr>
          <w:rFonts w:ascii="BNPP Sans Light" w:eastAsia="Arial" w:hAnsi="BNPP Sans Light" w:cs="Arial"/>
          <w:b/>
          <w:bCs/>
          <w:color w:val="00A76C"/>
          <w:sz w:val="20"/>
          <w:lang w:val="en-GB"/>
        </w:rPr>
        <w:t>About BNP Paribas Asset Management</w:t>
      </w:r>
    </w:p>
    <w:p w14:paraId="17ACC563" w14:textId="08F1A311" w:rsidR="001B2435" w:rsidRPr="00DA10A2" w:rsidRDefault="001B2435" w:rsidP="00883F26">
      <w:pPr>
        <w:spacing w:line="276" w:lineRule="auto"/>
        <w:rPr>
          <w:rFonts w:ascii="BNPP Sans Light" w:hAnsi="BNPP Sans Light"/>
          <w:sz w:val="20"/>
          <w:lang w:val="en-US"/>
        </w:rPr>
      </w:pPr>
      <w:r w:rsidRPr="00DA10A2">
        <w:rPr>
          <w:rFonts w:ascii="BNPP Sans Light" w:hAnsi="BNPP Sans Light"/>
          <w:sz w:val="20"/>
          <w:lang w:val="en-US"/>
        </w:rPr>
        <w:t xml:space="preserve">BNP Paribas Asset Management (‘BNPP AM’) is the investment arm of BNP Paribas, a leading banking group in Europe with international reach. </w:t>
      </w:r>
      <w:r w:rsidR="009F3E21" w:rsidRPr="00DA10A2">
        <w:rPr>
          <w:rFonts w:ascii="BNPP Sans Light" w:hAnsi="BNPP Sans Light"/>
          <w:sz w:val="20"/>
          <w:lang w:val="en-US"/>
        </w:rPr>
        <w:t xml:space="preserve"> </w:t>
      </w:r>
      <w:r w:rsidRPr="00DA10A2">
        <w:rPr>
          <w:rFonts w:ascii="BNPP Sans Light" w:hAnsi="BNPP Sans Light"/>
          <w:sz w:val="20"/>
          <w:lang w:val="en-US"/>
        </w:rPr>
        <w:t xml:space="preserve">BNPP AM aims to generate long-term sustainable investment returns for its clients, based on a unique sustainability-driven philosophy. </w:t>
      </w:r>
      <w:r w:rsidR="009F3E21" w:rsidRPr="00DA10A2">
        <w:rPr>
          <w:rFonts w:ascii="BNPP Sans Light" w:hAnsi="BNPP Sans Light"/>
          <w:sz w:val="20"/>
          <w:lang w:val="en-US"/>
        </w:rPr>
        <w:t xml:space="preserve"> </w:t>
      </w:r>
      <w:r w:rsidRPr="00DA10A2">
        <w:rPr>
          <w:rFonts w:ascii="BNPP Sans Light" w:hAnsi="BNPP Sans Light"/>
          <w:sz w:val="20"/>
          <w:lang w:val="en-US"/>
        </w:rPr>
        <w:t xml:space="preserve">BNPP AM’s investment capabilities are focused around five key strategies: </w:t>
      </w:r>
      <w:r w:rsidRPr="00DA10A2">
        <w:rPr>
          <w:rFonts w:ascii="BNPP Sans Light" w:hAnsi="BNPP Sans Light"/>
          <w:sz w:val="20"/>
          <w:lang w:val="en-US"/>
        </w:rPr>
        <w:lastRenderedPageBreak/>
        <w:t>High Conviction Strategies, Private Debt &amp; Real Assets, Multi-Asset, Quantitative &amp; Solutions (MAQS), Emerging Markets and Liquidity Solutions, with investment processes incorporating quantitative and fundamental analysis.</w:t>
      </w:r>
    </w:p>
    <w:p w14:paraId="5A1D2F92" w14:textId="77777777" w:rsidR="001B2435" w:rsidRPr="00DA10A2" w:rsidRDefault="001B2435" w:rsidP="00883F26">
      <w:pPr>
        <w:spacing w:line="276" w:lineRule="auto"/>
        <w:rPr>
          <w:rFonts w:ascii="BNPP Sans Light" w:hAnsi="BNPP Sans Light"/>
          <w:sz w:val="20"/>
          <w:lang w:val="en-US"/>
        </w:rPr>
      </w:pPr>
    </w:p>
    <w:p w14:paraId="2CB6CE41" w14:textId="37E1B23B" w:rsidR="001B2435" w:rsidRPr="00DA10A2" w:rsidRDefault="001B2435" w:rsidP="00883F26">
      <w:pPr>
        <w:spacing w:line="276" w:lineRule="auto"/>
        <w:rPr>
          <w:rFonts w:ascii="BNPP Sans Light" w:hAnsi="BNPP Sans Light"/>
          <w:sz w:val="20"/>
          <w:lang w:val="en-US"/>
        </w:rPr>
      </w:pPr>
      <w:r w:rsidRPr="00DA10A2">
        <w:rPr>
          <w:rFonts w:ascii="BNPP Sans Light" w:hAnsi="BNPP Sans Light"/>
          <w:sz w:val="20"/>
          <w:lang w:val="en-US"/>
        </w:rPr>
        <w:t xml:space="preserve">Sustainability is embedded within BNPP AM’s strategy and investment decision-making. </w:t>
      </w:r>
      <w:r w:rsidR="009F3E21" w:rsidRPr="00DA10A2">
        <w:rPr>
          <w:rFonts w:ascii="BNPP Sans Light" w:hAnsi="BNPP Sans Light"/>
          <w:sz w:val="20"/>
          <w:lang w:val="en-US"/>
        </w:rPr>
        <w:t xml:space="preserve"> </w:t>
      </w:r>
      <w:r w:rsidRPr="00DA10A2">
        <w:rPr>
          <w:rFonts w:ascii="BNPP Sans Light" w:hAnsi="BNPP Sans Light"/>
          <w:sz w:val="20"/>
          <w:lang w:val="en-US"/>
        </w:rPr>
        <w:t xml:space="preserve">Among the leaders in thematic investment in Europe, BNPP AM contributes to the </w:t>
      </w:r>
      <w:r w:rsidRPr="009732BD">
        <w:rPr>
          <w:rFonts w:ascii="BNPP Sans Light" w:hAnsi="BNPP Sans Light"/>
          <w:sz w:val="20"/>
          <w:lang w:val="en-US"/>
        </w:rPr>
        <w:t>energy transition, environmental sustainability and the promotion of equality and inclusive growth.</w:t>
      </w:r>
      <w:r w:rsidR="009F3E21" w:rsidRPr="009732BD">
        <w:rPr>
          <w:rFonts w:ascii="BNPP Sans Light" w:hAnsi="BNPP Sans Light"/>
          <w:sz w:val="20"/>
          <w:lang w:val="en-US"/>
        </w:rPr>
        <w:t xml:space="preserve"> </w:t>
      </w:r>
      <w:r w:rsidRPr="009732BD">
        <w:rPr>
          <w:rFonts w:ascii="BNPP Sans Light" w:hAnsi="BNPP Sans Light"/>
          <w:sz w:val="20"/>
          <w:lang w:val="en-US"/>
        </w:rPr>
        <w:t xml:space="preserve"> BNPP AM currently manages EUR </w:t>
      </w:r>
      <w:r w:rsidR="005C726B" w:rsidRPr="009732BD">
        <w:rPr>
          <w:rFonts w:ascii="BNPP Sans Light" w:hAnsi="BNPP Sans Light"/>
          <w:sz w:val="20"/>
          <w:lang w:val="en-US"/>
        </w:rPr>
        <w:t>5</w:t>
      </w:r>
      <w:r w:rsidR="004E511F">
        <w:rPr>
          <w:rFonts w:ascii="BNPP Sans Light" w:hAnsi="BNPP Sans Light"/>
          <w:sz w:val="20"/>
          <w:lang w:val="en-US"/>
        </w:rPr>
        <w:t>22</w:t>
      </w:r>
      <w:r w:rsidRPr="009732BD">
        <w:rPr>
          <w:rFonts w:ascii="BNPP Sans Light" w:hAnsi="BNPP Sans Light"/>
          <w:sz w:val="20"/>
          <w:lang w:val="en-US"/>
        </w:rPr>
        <w:t xml:space="preserve"> billion of assets (EUR 6</w:t>
      </w:r>
      <w:r w:rsidR="004E511F">
        <w:rPr>
          <w:rFonts w:ascii="BNPP Sans Light" w:hAnsi="BNPP Sans Light"/>
          <w:sz w:val="20"/>
          <w:lang w:val="en-US"/>
        </w:rPr>
        <w:t>45</w:t>
      </w:r>
      <w:r w:rsidRPr="009732BD">
        <w:rPr>
          <w:rFonts w:ascii="BNPP Sans Light" w:hAnsi="BNPP Sans Light"/>
          <w:sz w:val="20"/>
          <w:lang w:val="en-US"/>
        </w:rPr>
        <w:t xml:space="preserve"> billion</w:t>
      </w:r>
      <w:r w:rsidRPr="00DA10A2">
        <w:rPr>
          <w:rFonts w:ascii="BNPP Sans Light" w:hAnsi="BNPP Sans Light"/>
          <w:sz w:val="20"/>
          <w:lang w:val="en-US"/>
        </w:rPr>
        <w:t xml:space="preserve"> of assets under management &amp; advisory) and benefits from the expertise of around 500 investment professionals and </w:t>
      </w:r>
      <w:r w:rsidR="004E511F">
        <w:rPr>
          <w:rFonts w:ascii="BNPP Sans Light" w:hAnsi="BNPP Sans Light"/>
          <w:sz w:val="20"/>
          <w:lang w:val="en-US"/>
        </w:rPr>
        <w:t>around 8</w:t>
      </w:r>
      <w:r w:rsidRPr="00DA10A2">
        <w:rPr>
          <w:rFonts w:ascii="BNPP Sans Light" w:hAnsi="BNPP Sans Light"/>
          <w:sz w:val="20"/>
          <w:lang w:val="en-US"/>
        </w:rPr>
        <w:t>00 client servicing specialists, serving individual, corporate and institutional clients in 6</w:t>
      </w:r>
      <w:r w:rsidR="004E511F">
        <w:rPr>
          <w:rFonts w:ascii="BNPP Sans Light" w:hAnsi="BNPP Sans Light"/>
          <w:sz w:val="20"/>
          <w:lang w:val="en-US"/>
        </w:rPr>
        <w:t>7</w:t>
      </w:r>
      <w:r w:rsidRPr="00DA10A2">
        <w:rPr>
          <w:rFonts w:ascii="BNPP Sans Light" w:hAnsi="BNPP Sans Light"/>
          <w:sz w:val="20"/>
          <w:lang w:val="en-US"/>
        </w:rPr>
        <w:t xml:space="preserve"> countries.</w:t>
      </w:r>
    </w:p>
    <w:p w14:paraId="7C1361C3" w14:textId="77777777" w:rsidR="001B2435" w:rsidRPr="00DA10A2" w:rsidRDefault="001B2435" w:rsidP="00883F26">
      <w:pPr>
        <w:spacing w:line="276" w:lineRule="auto"/>
        <w:rPr>
          <w:rFonts w:ascii="BNPP Sans Light" w:hAnsi="BNPP Sans Light"/>
          <w:sz w:val="20"/>
          <w:lang w:val="en-US"/>
        </w:rPr>
      </w:pPr>
    </w:p>
    <w:p w14:paraId="0E9A60FE" w14:textId="2A356DB8" w:rsidR="001B2435" w:rsidRPr="00DA10A2" w:rsidRDefault="001B2435" w:rsidP="00883F26">
      <w:pPr>
        <w:spacing w:line="276" w:lineRule="auto"/>
        <w:rPr>
          <w:rFonts w:ascii="BNPP Sans Light" w:hAnsi="BNPP Sans Light"/>
          <w:sz w:val="20"/>
          <w:lang w:val="en-US"/>
        </w:rPr>
      </w:pPr>
      <w:r w:rsidRPr="00DA10A2">
        <w:rPr>
          <w:rFonts w:ascii="BNPP Sans Light" w:hAnsi="BNPP Sans Light"/>
          <w:sz w:val="20"/>
          <w:lang w:val="en-US"/>
        </w:rPr>
        <w:t>Source: BNPP AM, as at 3</w:t>
      </w:r>
      <w:r w:rsidR="00033D1F">
        <w:rPr>
          <w:rFonts w:ascii="BNPP Sans Light" w:hAnsi="BNPP Sans Light"/>
          <w:sz w:val="20"/>
          <w:lang w:val="en-US"/>
        </w:rPr>
        <w:t xml:space="preserve">1 </w:t>
      </w:r>
      <w:r w:rsidR="004E511F">
        <w:rPr>
          <w:rFonts w:ascii="BNPP Sans Light" w:hAnsi="BNPP Sans Light"/>
          <w:sz w:val="20"/>
          <w:lang w:val="en-US"/>
        </w:rPr>
        <w:t>March</w:t>
      </w:r>
      <w:r w:rsidRPr="00DA10A2">
        <w:rPr>
          <w:rFonts w:ascii="BNPP Sans Light" w:hAnsi="BNPP Sans Light"/>
          <w:sz w:val="20"/>
          <w:lang w:val="en-US"/>
        </w:rPr>
        <w:t xml:space="preserve"> 202</w:t>
      </w:r>
      <w:r w:rsidR="004E511F">
        <w:rPr>
          <w:rFonts w:ascii="BNPP Sans Light" w:hAnsi="BNPP Sans Light"/>
          <w:sz w:val="20"/>
          <w:lang w:val="en-US"/>
        </w:rPr>
        <w:t>2</w:t>
      </w:r>
    </w:p>
    <w:p w14:paraId="53879A28" w14:textId="77777777" w:rsidR="001B2435" w:rsidRPr="00DA10A2" w:rsidRDefault="001B2435" w:rsidP="00883F26">
      <w:pPr>
        <w:spacing w:line="276" w:lineRule="auto"/>
        <w:rPr>
          <w:rFonts w:ascii="BNPP Sans Light" w:hAnsi="BNPP Sans Light"/>
          <w:sz w:val="20"/>
          <w:lang w:val="en-GB"/>
        </w:rPr>
      </w:pPr>
    </w:p>
    <w:p w14:paraId="1431DEFB" w14:textId="77777777" w:rsidR="001B2435" w:rsidRPr="00DA10A2" w:rsidRDefault="001B2435" w:rsidP="00883F26">
      <w:pPr>
        <w:spacing w:line="276" w:lineRule="auto"/>
        <w:rPr>
          <w:rFonts w:ascii="BNPP Sans Light" w:hAnsi="BNPP Sans Light"/>
          <w:sz w:val="20"/>
          <w:lang w:val="en-GB"/>
        </w:rPr>
      </w:pPr>
      <w:r w:rsidRPr="00DA10A2">
        <w:rPr>
          <w:rFonts w:ascii="BNPP Sans Light" w:hAnsi="BNPP Sans Light"/>
          <w:sz w:val="20"/>
          <w:lang w:val="en-GB"/>
        </w:rPr>
        <w:t xml:space="preserve">For more information please visit </w:t>
      </w:r>
      <w:hyperlink r:id="rId12" w:history="1">
        <w:r w:rsidRPr="00DA10A2">
          <w:rPr>
            <w:rStyle w:val="Hyperlink"/>
            <w:rFonts w:ascii="BNPP Sans Light" w:hAnsi="BNPP Sans Light"/>
            <w:sz w:val="20"/>
            <w:lang w:val="en-GB"/>
          </w:rPr>
          <w:t>bnpparibas-am.com</w:t>
        </w:r>
      </w:hyperlink>
      <w:r w:rsidRPr="00DA10A2">
        <w:rPr>
          <w:rFonts w:ascii="BNPP Sans Light" w:hAnsi="BNPP Sans Light"/>
          <w:sz w:val="20"/>
          <w:lang w:val="en-GB"/>
        </w:rPr>
        <w:t xml:space="preserve">, our </w:t>
      </w:r>
      <w:hyperlink r:id="rId13" w:history="1">
        <w:r w:rsidRPr="00DA10A2">
          <w:rPr>
            <w:rStyle w:val="Hyperlink"/>
            <w:rFonts w:ascii="BNPP Sans Light" w:hAnsi="BNPP Sans Light"/>
            <w:sz w:val="20"/>
            <w:lang w:val="en-GB"/>
          </w:rPr>
          <w:t>newsroom</w:t>
        </w:r>
      </w:hyperlink>
      <w:r w:rsidRPr="00DA10A2">
        <w:rPr>
          <w:rFonts w:ascii="BNPP Sans Light" w:hAnsi="BNPP Sans Light"/>
          <w:sz w:val="20"/>
          <w:lang w:val="en-GB"/>
        </w:rPr>
        <w:t xml:space="preserve"> or follow us on</w:t>
      </w:r>
    </w:p>
    <w:p w14:paraId="18428B82" w14:textId="74FD3744" w:rsidR="00117828" w:rsidRPr="00DA10A2" w:rsidRDefault="00117828" w:rsidP="00883F26">
      <w:pPr>
        <w:spacing w:line="276" w:lineRule="auto"/>
        <w:rPr>
          <w:rFonts w:ascii="BNPP Sans Light" w:eastAsia="MS Mincho" w:hAnsi="BNPP Sans Light" w:cs="Arial"/>
          <w:sz w:val="20"/>
          <w:lang w:val="en-GB"/>
        </w:rPr>
      </w:pPr>
      <w:r w:rsidRPr="00DA10A2">
        <w:rPr>
          <w:rFonts w:ascii="BNPP Sans Light" w:hAnsi="BNPP Sans Light"/>
          <w:noProof/>
          <w:sz w:val="20"/>
          <w:lang w:val="en-GB" w:eastAsia="en-GB"/>
        </w:rPr>
        <w:drawing>
          <wp:anchor distT="0" distB="0" distL="114300" distR="114300" simplePos="0" relativeHeight="251659264" behindDoc="0" locked="0" layoutInCell="1" allowOverlap="1" wp14:anchorId="1FC6D5D7" wp14:editId="2A06532D">
            <wp:simplePos x="0" y="0"/>
            <wp:positionH relativeFrom="column">
              <wp:posOffset>2391410</wp:posOffset>
            </wp:positionH>
            <wp:positionV relativeFrom="paragraph">
              <wp:posOffset>27940</wp:posOffset>
            </wp:positionV>
            <wp:extent cx="246380" cy="246380"/>
            <wp:effectExtent l="0" t="0" r="1270" b="1270"/>
            <wp:wrapNone/>
            <wp:docPr id="9" name="Imag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46380" cy="246380"/>
                    </a:xfrm>
                    <a:prstGeom prst="rect">
                      <a:avLst/>
                    </a:prstGeom>
                    <a:noFill/>
                  </pic:spPr>
                </pic:pic>
              </a:graphicData>
            </a:graphic>
            <wp14:sizeRelH relativeFrom="page">
              <wp14:pctWidth>0</wp14:pctWidth>
            </wp14:sizeRelH>
            <wp14:sizeRelV relativeFrom="page">
              <wp14:pctHeight>0</wp14:pctHeight>
            </wp14:sizeRelV>
          </wp:anchor>
        </w:drawing>
      </w:r>
      <w:r w:rsidRPr="00DA10A2">
        <w:rPr>
          <w:rFonts w:ascii="BNPP Sans Light" w:hAnsi="BNPP Sans Light"/>
          <w:noProof/>
          <w:sz w:val="20"/>
          <w:lang w:val="en-GB" w:eastAsia="en-GB"/>
        </w:rPr>
        <w:drawing>
          <wp:anchor distT="0" distB="0" distL="114300" distR="114300" simplePos="0" relativeHeight="251660288" behindDoc="0" locked="0" layoutInCell="1" allowOverlap="1" wp14:anchorId="4FB1B66B" wp14:editId="6FB0153D">
            <wp:simplePos x="0" y="0"/>
            <wp:positionH relativeFrom="column">
              <wp:posOffset>2065407</wp:posOffset>
            </wp:positionH>
            <wp:positionV relativeFrom="paragraph">
              <wp:posOffset>20402</wp:posOffset>
            </wp:positionV>
            <wp:extent cx="262393" cy="262393"/>
            <wp:effectExtent l="0" t="0" r="4445" b="4445"/>
            <wp:wrapNone/>
            <wp:docPr id="10" name="Imag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61938" cy="261938"/>
                    </a:xfrm>
                    <a:prstGeom prst="rect">
                      <a:avLst/>
                    </a:prstGeom>
                    <a:noFill/>
                  </pic:spPr>
                </pic:pic>
              </a:graphicData>
            </a:graphic>
            <wp14:sizeRelH relativeFrom="page">
              <wp14:pctWidth>0</wp14:pctWidth>
            </wp14:sizeRelH>
            <wp14:sizeRelV relativeFrom="page">
              <wp14:pctHeight>0</wp14:pctHeight>
            </wp14:sizeRelV>
          </wp:anchor>
        </w:drawing>
      </w:r>
      <w:r w:rsidRPr="00DA10A2">
        <w:rPr>
          <w:rFonts w:ascii="BNPP Sans Light" w:hAnsi="BNPP Sans Light"/>
          <w:noProof/>
          <w:sz w:val="20"/>
          <w:lang w:val="en-GB" w:eastAsia="en-GB"/>
        </w:rPr>
        <w:drawing>
          <wp:anchor distT="0" distB="0" distL="114300" distR="114300" simplePos="0" relativeHeight="251661312" behindDoc="0" locked="0" layoutInCell="1" allowOverlap="1" wp14:anchorId="512BB45A" wp14:editId="14B2CFD1">
            <wp:simplePos x="0" y="0"/>
            <wp:positionH relativeFrom="column">
              <wp:posOffset>1652270</wp:posOffset>
            </wp:positionH>
            <wp:positionV relativeFrom="paragraph">
              <wp:posOffset>31115</wp:posOffset>
            </wp:positionV>
            <wp:extent cx="247650" cy="247650"/>
            <wp:effectExtent l="0" t="0" r="0" b="0"/>
            <wp:wrapNone/>
            <wp:docPr id="13" name="Image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Pr="00DA10A2">
        <w:rPr>
          <w:rFonts w:ascii="BNPP Sans Light" w:hAnsi="BNPP Sans Light"/>
          <w:noProof/>
          <w:sz w:val="20"/>
          <w:lang w:val="en-GB" w:eastAsia="en-GB"/>
        </w:rPr>
        <w:drawing>
          <wp:inline distT="0" distB="0" distL="0" distR="0" wp14:anchorId="2ADB46B7" wp14:editId="3934A064">
            <wp:extent cx="1493520" cy="281940"/>
            <wp:effectExtent l="0" t="0" r="0" b="3810"/>
            <wp:docPr id="14" name="Picture 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C.jpg"/>
                    <pic:cNvPicPr/>
                  </pic:nvPicPr>
                  <pic:blipFill>
                    <a:blip r:embed="rId21">
                      <a:extLst>
                        <a:ext uri="{28A0092B-C50C-407E-A947-70E740481C1C}">
                          <a14:useLocalDpi xmlns:a14="http://schemas.microsoft.com/office/drawing/2010/main" val="0"/>
                        </a:ext>
                      </a:extLst>
                    </a:blip>
                    <a:stretch>
                      <a:fillRect/>
                    </a:stretch>
                  </pic:blipFill>
                  <pic:spPr>
                    <a:xfrm>
                      <a:off x="0" y="0"/>
                      <a:ext cx="1493520" cy="281940"/>
                    </a:xfrm>
                    <a:prstGeom prst="rect">
                      <a:avLst/>
                    </a:prstGeom>
                  </pic:spPr>
                </pic:pic>
              </a:graphicData>
            </a:graphic>
          </wp:inline>
        </w:drawing>
      </w:r>
    </w:p>
    <w:p w14:paraId="6AFE6D23" w14:textId="77777777" w:rsidR="008B0EB4" w:rsidRPr="00DA10A2" w:rsidRDefault="008B0EB4" w:rsidP="00883F26">
      <w:pPr>
        <w:spacing w:line="276" w:lineRule="auto"/>
        <w:rPr>
          <w:rFonts w:ascii="BNPP Sans Light" w:eastAsia="MS Mincho" w:hAnsi="BNPP Sans Light" w:cs="Arial"/>
          <w:sz w:val="20"/>
          <w:lang w:val="en-GB"/>
        </w:rPr>
      </w:pPr>
    </w:p>
    <w:p w14:paraId="6EFB7288" w14:textId="7B9704FD" w:rsidR="00060D9D" w:rsidRDefault="00060D9D" w:rsidP="00060D9D">
      <w:pPr>
        <w:spacing w:line="276" w:lineRule="auto"/>
        <w:rPr>
          <w:rFonts w:ascii="BNPP Sans Light" w:eastAsia="Batang" w:hAnsi="BNPP Sans Light" w:cs="Arial Narrow"/>
          <w:b/>
          <w:bCs/>
          <w:color w:val="00B050"/>
          <w:sz w:val="20"/>
          <w:lang w:val="en-GB"/>
        </w:rPr>
      </w:pPr>
      <w:r>
        <w:rPr>
          <w:rFonts w:ascii="BNPP Sans Light" w:eastAsia="Batang" w:hAnsi="BNPP Sans Light" w:cs="Arial Narrow"/>
          <w:b/>
          <w:bCs/>
          <w:color w:val="00B050"/>
          <w:sz w:val="20"/>
          <w:lang w:val="en-GB"/>
        </w:rPr>
        <w:t>Abo</w:t>
      </w:r>
      <w:r w:rsidRPr="00060D9D">
        <w:rPr>
          <w:rFonts w:ascii="BNPP Sans Light" w:eastAsia="Batang" w:hAnsi="BNPP Sans Light" w:cs="Arial Narrow"/>
          <w:b/>
          <w:bCs/>
          <w:color w:val="00B050"/>
          <w:sz w:val="20"/>
          <w:lang w:val="en-GB"/>
        </w:rPr>
        <w:t xml:space="preserve">ut the BNP Paribas European ESG </w:t>
      </w:r>
      <w:r w:rsidR="00F34454">
        <w:rPr>
          <w:rFonts w:ascii="BNPP Sans Light" w:eastAsia="Batang" w:hAnsi="BNPP Sans Light" w:cs="Arial Narrow"/>
          <w:b/>
          <w:bCs/>
          <w:color w:val="00B050"/>
          <w:sz w:val="20"/>
          <w:lang w:val="en-GB"/>
        </w:rPr>
        <w:t>ETF Barometer</w:t>
      </w:r>
    </w:p>
    <w:p w14:paraId="1C7A9EB8" w14:textId="6BA746A8" w:rsidR="00060D9D" w:rsidRPr="00060D9D" w:rsidRDefault="00060D9D" w:rsidP="00060D9D">
      <w:pPr>
        <w:spacing w:line="276" w:lineRule="auto"/>
        <w:rPr>
          <w:rFonts w:ascii="BNPP Sans Light" w:eastAsia="MS Mincho" w:hAnsi="BNPP Sans Light" w:cs="Arial"/>
          <w:sz w:val="20"/>
          <w:lang w:val="en-GB"/>
        </w:rPr>
      </w:pPr>
      <w:r w:rsidRPr="00060D9D">
        <w:rPr>
          <w:rFonts w:ascii="BNPP Sans Light" w:eastAsia="MS Mincho" w:hAnsi="BNPP Sans Light" w:cs="Arial"/>
          <w:sz w:val="20"/>
          <w:lang w:val="en-GB"/>
        </w:rPr>
        <w:t xml:space="preserve">BNPP AM developed the European ESG </w:t>
      </w:r>
      <w:r w:rsidR="00F34454">
        <w:rPr>
          <w:rFonts w:ascii="BNPP Sans Light" w:eastAsia="MS Mincho" w:hAnsi="BNPP Sans Light" w:cs="Arial"/>
          <w:sz w:val="20"/>
          <w:lang w:val="en-GB"/>
        </w:rPr>
        <w:t xml:space="preserve">ETF Barometer </w:t>
      </w:r>
      <w:r>
        <w:rPr>
          <w:rFonts w:ascii="BNPP Sans Light" w:eastAsia="MS Mincho" w:hAnsi="BNPP Sans Light" w:cs="Arial"/>
          <w:sz w:val="20"/>
          <w:lang w:val="en-GB"/>
        </w:rPr>
        <w:t xml:space="preserve">together with B2B thought leadership agency Longitude, a Financial Times company, </w:t>
      </w:r>
      <w:r w:rsidRPr="00060D9D">
        <w:rPr>
          <w:rFonts w:ascii="BNPP Sans Light" w:eastAsia="MS Mincho" w:hAnsi="BNPP Sans Light" w:cs="Arial"/>
          <w:sz w:val="20"/>
          <w:lang w:val="en-GB"/>
        </w:rPr>
        <w:t xml:space="preserve">to monitor how investors’ sustainable investment outlook and practices are changing over time. </w:t>
      </w:r>
      <w:r>
        <w:rPr>
          <w:rFonts w:ascii="BNPP Sans Light" w:eastAsia="MS Mincho" w:hAnsi="BNPP Sans Light" w:cs="Arial"/>
          <w:sz w:val="20"/>
          <w:lang w:val="en-GB"/>
        </w:rPr>
        <w:t xml:space="preserve"> Conducted twice yearly, the survey gauges the opinions of </w:t>
      </w:r>
      <w:r w:rsidRPr="00060D9D">
        <w:rPr>
          <w:rFonts w:ascii="BNPP Sans Light" w:eastAsia="MS Mincho" w:hAnsi="BNPP Sans Light" w:cs="Arial"/>
          <w:sz w:val="20"/>
          <w:lang w:val="en-GB"/>
        </w:rPr>
        <w:t>250 investment executives at insurers, pension funds, asset managers and wealth managers in France, Germany,</w:t>
      </w:r>
      <w:r>
        <w:rPr>
          <w:rFonts w:ascii="BNPP Sans Light" w:eastAsia="MS Mincho" w:hAnsi="BNPP Sans Light" w:cs="Arial"/>
          <w:sz w:val="20"/>
          <w:lang w:val="en-GB"/>
        </w:rPr>
        <w:t xml:space="preserve"> Italy, Switzerland and the UK and </w:t>
      </w:r>
      <w:r w:rsidRPr="00060D9D">
        <w:rPr>
          <w:rFonts w:ascii="BNPP Sans Light" w:eastAsia="MS Mincho" w:hAnsi="BNPP Sans Light" w:cs="Arial"/>
          <w:sz w:val="20"/>
          <w:lang w:val="en-GB"/>
        </w:rPr>
        <w:t xml:space="preserve">assesses five key areas: </w:t>
      </w:r>
    </w:p>
    <w:p w14:paraId="2727CD37" w14:textId="77777777" w:rsidR="00060D9D" w:rsidRPr="00060D9D" w:rsidRDefault="00060D9D" w:rsidP="00060D9D">
      <w:pPr>
        <w:spacing w:line="276" w:lineRule="auto"/>
        <w:rPr>
          <w:rFonts w:ascii="BNPP Sans Light" w:eastAsia="MS Mincho" w:hAnsi="BNPP Sans Light" w:cs="Arial"/>
          <w:sz w:val="20"/>
          <w:lang w:val="en-GB"/>
        </w:rPr>
      </w:pPr>
    </w:p>
    <w:p w14:paraId="0D1510B7" w14:textId="77777777" w:rsidR="00734688" w:rsidRPr="00060D9D" w:rsidRDefault="00734688" w:rsidP="00734688">
      <w:pPr>
        <w:pStyle w:val="ListParagraph"/>
        <w:numPr>
          <w:ilvl w:val="0"/>
          <w:numId w:val="27"/>
        </w:numPr>
        <w:spacing w:line="276" w:lineRule="auto"/>
        <w:ind w:left="709" w:hanging="349"/>
        <w:rPr>
          <w:rFonts w:ascii="BNPP Sans Light" w:eastAsia="MS Mincho" w:hAnsi="BNPP Sans Light" w:cs="Arial"/>
          <w:sz w:val="20"/>
          <w:lang w:val="en-GB"/>
        </w:rPr>
      </w:pPr>
      <w:r w:rsidRPr="00060D9D">
        <w:rPr>
          <w:rFonts w:ascii="BNPP Sans Light" w:eastAsia="MS Mincho" w:hAnsi="BNPP Sans Light" w:cs="Arial"/>
          <w:sz w:val="20"/>
          <w:lang w:val="en-GB"/>
        </w:rPr>
        <w:t xml:space="preserve">ETF landscape </w:t>
      </w:r>
      <w:r>
        <w:rPr>
          <w:rFonts w:ascii="BNPP Sans Light" w:eastAsia="MS Mincho" w:hAnsi="BNPP Sans Light" w:cs="Arial"/>
          <w:sz w:val="20"/>
          <w:lang w:val="en-GB"/>
        </w:rPr>
        <w:t xml:space="preserve">– Perception of the ETF market and expected </w:t>
      </w:r>
      <w:r w:rsidRPr="00060D9D">
        <w:rPr>
          <w:rFonts w:ascii="BNPP Sans Light" w:eastAsia="MS Mincho" w:hAnsi="BNPP Sans Light" w:cs="Arial"/>
          <w:sz w:val="20"/>
          <w:lang w:val="en-GB"/>
        </w:rPr>
        <w:t>allocations to ESG ETFs.</w:t>
      </w:r>
    </w:p>
    <w:p w14:paraId="3CF87EB0" w14:textId="121BBFA1" w:rsidR="00060D9D" w:rsidRPr="00060D9D" w:rsidRDefault="00060D9D" w:rsidP="00060D9D">
      <w:pPr>
        <w:pStyle w:val="ListParagraph"/>
        <w:numPr>
          <w:ilvl w:val="0"/>
          <w:numId w:val="27"/>
        </w:numPr>
        <w:spacing w:line="276" w:lineRule="auto"/>
        <w:ind w:left="709" w:hanging="349"/>
        <w:rPr>
          <w:rFonts w:ascii="BNPP Sans Light" w:eastAsia="MS Mincho" w:hAnsi="BNPP Sans Light" w:cs="Arial"/>
          <w:sz w:val="20"/>
          <w:lang w:val="en-GB"/>
        </w:rPr>
      </w:pPr>
      <w:r w:rsidRPr="00060D9D">
        <w:rPr>
          <w:rFonts w:ascii="BNPP Sans Light" w:eastAsia="MS Mincho" w:hAnsi="BNPP Sans Light" w:cs="Arial"/>
          <w:sz w:val="20"/>
          <w:lang w:val="en-GB"/>
        </w:rPr>
        <w:t>ESG integration</w:t>
      </w:r>
      <w:r>
        <w:rPr>
          <w:rFonts w:ascii="BNPP Sans Light" w:eastAsia="MS Mincho" w:hAnsi="BNPP Sans Light" w:cs="Arial"/>
          <w:sz w:val="20"/>
          <w:lang w:val="en-GB"/>
        </w:rPr>
        <w:t xml:space="preserve"> - I</w:t>
      </w:r>
      <w:r w:rsidRPr="00060D9D">
        <w:rPr>
          <w:rFonts w:ascii="BNPP Sans Light" w:eastAsia="MS Mincho" w:hAnsi="BNPP Sans Light" w:cs="Arial"/>
          <w:sz w:val="20"/>
          <w:lang w:val="en-GB"/>
        </w:rPr>
        <w:t>nvestors’</w:t>
      </w:r>
      <w:r>
        <w:rPr>
          <w:rFonts w:ascii="BNPP Sans Light" w:eastAsia="MS Mincho" w:hAnsi="BNPP Sans Light" w:cs="Arial"/>
          <w:sz w:val="20"/>
          <w:lang w:val="en-GB"/>
        </w:rPr>
        <w:t xml:space="preserve"> </w:t>
      </w:r>
      <w:r w:rsidRPr="00060D9D">
        <w:rPr>
          <w:rFonts w:ascii="BNPP Sans Light" w:eastAsia="MS Mincho" w:hAnsi="BNPP Sans Light" w:cs="Arial"/>
          <w:sz w:val="20"/>
          <w:lang w:val="en-GB"/>
        </w:rPr>
        <w:t>reliance on different ESG integration methods and the issues they are prioriti</w:t>
      </w:r>
      <w:r>
        <w:rPr>
          <w:rFonts w:ascii="BNPP Sans Light" w:eastAsia="MS Mincho" w:hAnsi="BNPP Sans Light" w:cs="Arial"/>
          <w:sz w:val="20"/>
          <w:lang w:val="en-GB"/>
        </w:rPr>
        <w:t>s</w:t>
      </w:r>
      <w:r w:rsidRPr="00060D9D">
        <w:rPr>
          <w:rFonts w:ascii="BNPP Sans Light" w:eastAsia="MS Mincho" w:hAnsi="BNPP Sans Light" w:cs="Arial"/>
          <w:sz w:val="20"/>
          <w:lang w:val="en-GB"/>
        </w:rPr>
        <w:t>ing in their engag</w:t>
      </w:r>
      <w:r>
        <w:rPr>
          <w:rFonts w:ascii="BNPP Sans Light" w:eastAsia="MS Mincho" w:hAnsi="BNPP Sans Light" w:cs="Arial"/>
          <w:sz w:val="20"/>
          <w:lang w:val="en-GB"/>
        </w:rPr>
        <w:t>ement and stewardship activity.</w:t>
      </w:r>
    </w:p>
    <w:p w14:paraId="2420F943" w14:textId="47A43407" w:rsidR="00060D9D" w:rsidRPr="00060D9D" w:rsidRDefault="00060D9D" w:rsidP="00060D9D">
      <w:pPr>
        <w:pStyle w:val="ListParagraph"/>
        <w:numPr>
          <w:ilvl w:val="0"/>
          <w:numId w:val="27"/>
        </w:numPr>
        <w:spacing w:line="276" w:lineRule="auto"/>
        <w:ind w:left="709" w:hanging="349"/>
        <w:rPr>
          <w:rFonts w:ascii="BNPP Sans Light" w:eastAsia="MS Mincho" w:hAnsi="BNPP Sans Light" w:cs="Arial"/>
          <w:sz w:val="20"/>
          <w:lang w:val="en-GB"/>
        </w:rPr>
      </w:pPr>
      <w:r w:rsidRPr="00060D9D">
        <w:rPr>
          <w:rFonts w:ascii="BNPP Sans Light" w:eastAsia="MS Mincho" w:hAnsi="BNPP Sans Light" w:cs="Arial"/>
          <w:sz w:val="20"/>
          <w:lang w:val="en-GB"/>
        </w:rPr>
        <w:t xml:space="preserve">Thematic opportunities </w:t>
      </w:r>
      <w:r>
        <w:rPr>
          <w:rFonts w:ascii="BNPP Sans Light" w:eastAsia="MS Mincho" w:hAnsi="BNPP Sans Light" w:cs="Arial"/>
          <w:sz w:val="20"/>
          <w:lang w:val="en-GB"/>
        </w:rPr>
        <w:t>– Investors’</w:t>
      </w:r>
      <w:r w:rsidRPr="00060D9D">
        <w:rPr>
          <w:rFonts w:ascii="BNPP Sans Light" w:eastAsia="MS Mincho" w:hAnsi="BNPP Sans Light" w:cs="Arial"/>
          <w:sz w:val="20"/>
          <w:lang w:val="en-GB"/>
        </w:rPr>
        <w:t xml:space="preserve"> appetite </w:t>
      </w:r>
      <w:r>
        <w:rPr>
          <w:rFonts w:ascii="BNPP Sans Light" w:eastAsia="MS Mincho" w:hAnsi="BNPP Sans Light" w:cs="Arial"/>
          <w:sz w:val="20"/>
          <w:lang w:val="en-GB"/>
        </w:rPr>
        <w:t xml:space="preserve">for </w:t>
      </w:r>
      <w:r w:rsidRPr="00060D9D">
        <w:rPr>
          <w:rFonts w:ascii="BNPP Sans Light" w:eastAsia="MS Mincho" w:hAnsi="BNPP Sans Light" w:cs="Arial"/>
          <w:sz w:val="20"/>
          <w:lang w:val="en-GB"/>
        </w:rPr>
        <w:t>different</w:t>
      </w:r>
      <w:r>
        <w:rPr>
          <w:rFonts w:ascii="BNPP Sans Light" w:eastAsia="MS Mincho" w:hAnsi="BNPP Sans Light" w:cs="Arial"/>
          <w:sz w:val="20"/>
          <w:lang w:val="en-GB"/>
        </w:rPr>
        <w:t xml:space="preserve"> ESG-related investment themes.</w:t>
      </w:r>
    </w:p>
    <w:p w14:paraId="20073238" w14:textId="74F65D10" w:rsidR="00060D9D" w:rsidRPr="00060D9D" w:rsidRDefault="00060D9D" w:rsidP="00060D9D">
      <w:pPr>
        <w:pStyle w:val="ListParagraph"/>
        <w:numPr>
          <w:ilvl w:val="0"/>
          <w:numId w:val="27"/>
        </w:numPr>
        <w:spacing w:line="276" w:lineRule="auto"/>
        <w:ind w:left="709" w:hanging="349"/>
        <w:rPr>
          <w:rFonts w:ascii="BNPP Sans Light" w:eastAsia="MS Mincho" w:hAnsi="BNPP Sans Light" w:cs="Arial"/>
          <w:sz w:val="20"/>
          <w:lang w:val="en-GB"/>
        </w:rPr>
      </w:pPr>
      <w:r w:rsidRPr="00060D9D">
        <w:rPr>
          <w:rFonts w:ascii="BNPP Sans Light" w:eastAsia="MS Mincho" w:hAnsi="BNPP Sans Light" w:cs="Arial"/>
          <w:sz w:val="20"/>
          <w:lang w:val="en-GB"/>
        </w:rPr>
        <w:t xml:space="preserve">Regulatory environment </w:t>
      </w:r>
      <w:r>
        <w:rPr>
          <w:rFonts w:ascii="BNPP Sans Light" w:eastAsia="MS Mincho" w:hAnsi="BNPP Sans Light" w:cs="Arial"/>
          <w:sz w:val="20"/>
          <w:lang w:val="en-GB"/>
        </w:rPr>
        <w:t>- The</w:t>
      </w:r>
      <w:r w:rsidRPr="00060D9D">
        <w:rPr>
          <w:rFonts w:ascii="BNPP Sans Light" w:eastAsia="MS Mincho" w:hAnsi="BNPP Sans Light" w:cs="Arial"/>
          <w:sz w:val="20"/>
          <w:lang w:val="en-GB"/>
        </w:rPr>
        <w:t xml:space="preserve"> perceived efficacy of regu</w:t>
      </w:r>
      <w:r>
        <w:rPr>
          <w:rFonts w:ascii="BNPP Sans Light" w:eastAsia="MS Mincho" w:hAnsi="BNPP Sans Light" w:cs="Arial"/>
          <w:sz w:val="20"/>
          <w:lang w:val="en-GB"/>
        </w:rPr>
        <w:t>lations governing ESG products.</w:t>
      </w:r>
    </w:p>
    <w:p w14:paraId="4F1E4EA2" w14:textId="739F4E51" w:rsidR="00060D9D" w:rsidRPr="00060D9D" w:rsidRDefault="00060D9D" w:rsidP="00060D9D">
      <w:pPr>
        <w:pStyle w:val="ListParagraph"/>
        <w:numPr>
          <w:ilvl w:val="0"/>
          <w:numId w:val="27"/>
        </w:numPr>
        <w:spacing w:line="276" w:lineRule="auto"/>
        <w:ind w:left="709" w:hanging="349"/>
        <w:rPr>
          <w:rFonts w:ascii="BNPP Sans Light" w:eastAsia="MS Mincho" w:hAnsi="BNPP Sans Light" w:cs="Arial"/>
          <w:sz w:val="20"/>
          <w:lang w:val="en-GB"/>
        </w:rPr>
      </w:pPr>
      <w:r w:rsidRPr="00060D9D">
        <w:rPr>
          <w:rFonts w:ascii="BNPP Sans Light" w:eastAsia="MS Mincho" w:hAnsi="BNPP Sans Light" w:cs="Arial"/>
          <w:sz w:val="20"/>
          <w:lang w:val="en-GB"/>
        </w:rPr>
        <w:t xml:space="preserve">Emerging risks </w:t>
      </w:r>
      <w:r>
        <w:rPr>
          <w:rFonts w:ascii="BNPP Sans Light" w:eastAsia="MS Mincho" w:hAnsi="BNPP Sans Light" w:cs="Arial"/>
          <w:sz w:val="20"/>
          <w:lang w:val="en-GB"/>
        </w:rPr>
        <w:t xml:space="preserve">– Investor </w:t>
      </w:r>
      <w:r w:rsidRPr="00060D9D">
        <w:rPr>
          <w:rFonts w:ascii="BNPP Sans Light" w:eastAsia="MS Mincho" w:hAnsi="BNPP Sans Light" w:cs="Arial"/>
          <w:sz w:val="20"/>
          <w:lang w:val="en-GB"/>
        </w:rPr>
        <w:t xml:space="preserve">sentiment </w:t>
      </w:r>
      <w:r>
        <w:rPr>
          <w:rFonts w:ascii="BNPP Sans Light" w:eastAsia="MS Mincho" w:hAnsi="BNPP Sans Light" w:cs="Arial"/>
          <w:sz w:val="20"/>
          <w:lang w:val="en-GB"/>
        </w:rPr>
        <w:t xml:space="preserve">regarding </w:t>
      </w:r>
      <w:r w:rsidRPr="00060D9D">
        <w:rPr>
          <w:rFonts w:ascii="BNPP Sans Light" w:eastAsia="MS Mincho" w:hAnsi="BNPP Sans Light" w:cs="Arial"/>
          <w:sz w:val="20"/>
          <w:lang w:val="en-GB"/>
        </w:rPr>
        <w:t>to ESG inves</w:t>
      </w:r>
      <w:r>
        <w:rPr>
          <w:rFonts w:ascii="BNPP Sans Light" w:eastAsia="MS Mincho" w:hAnsi="BNPP Sans Light" w:cs="Arial"/>
          <w:sz w:val="20"/>
          <w:lang w:val="en-GB"/>
        </w:rPr>
        <w:t>tment risk.</w:t>
      </w:r>
    </w:p>
    <w:p w14:paraId="4B43F201" w14:textId="08A7DD65" w:rsidR="00060D9D" w:rsidRDefault="00060D9D" w:rsidP="00883F26">
      <w:pPr>
        <w:spacing w:line="276" w:lineRule="auto"/>
        <w:rPr>
          <w:rFonts w:ascii="BNPP Sans Light" w:eastAsia="MS Mincho" w:hAnsi="BNPP Sans Light" w:cs="Arial"/>
          <w:sz w:val="20"/>
          <w:lang w:val="en-GB"/>
        </w:rPr>
      </w:pPr>
    </w:p>
    <w:p w14:paraId="6B50ACD1" w14:textId="6A6A505E" w:rsidR="00C240C1" w:rsidRPr="00DA10A2" w:rsidRDefault="00C240C1" w:rsidP="00C240C1">
      <w:pPr>
        <w:spacing w:line="276" w:lineRule="auto"/>
        <w:rPr>
          <w:rFonts w:ascii="BNPP Sans Light" w:eastAsia="Batang" w:hAnsi="BNPP Sans Light" w:cs="Arial Narrow"/>
          <w:b/>
          <w:bCs/>
          <w:color w:val="00B050"/>
          <w:sz w:val="20"/>
          <w:lang w:val="en-GB"/>
        </w:rPr>
      </w:pPr>
      <w:r w:rsidRPr="00DA10A2">
        <w:rPr>
          <w:rFonts w:ascii="BNPP Sans Light" w:eastAsia="Batang" w:hAnsi="BNPP Sans Light" w:cs="Arial Narrow"/>
          <w:b/>
          <w:bCs/>
          <w:color w:val="00B050"/>
          <w:sz w:val="20"/>
          <w:lang w:val="en-GB"/>
        </w:rPr>
        <w:t>Additional information</w:t>
      </w:r>
    </w:p>
    <w:p w14:paraId="1102CD28" w14:textId="77777777" w:rsidR="00C240C1" w:rsidRPr="00DA10A2" w:rsidRDefault="00C240C1" w:rsidP="00C240C1">
      <w:p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BNP PARIBAS ASSET MANAGEMENT UK Limited, ‘the investment company’, is authorised and regulated by the Financial Conduct Authority.  Registered in England No: 02474627, registered office: 5 Aldermanbury Square, London, England, EC2V 7BP, United Kingdom.</w:t>
      </w:r>
    </w:p>
    <w:p w14:paraId="33853B7E" w14:textId="77777777" w:rsidR="00C240C1" w:rsidRPr="00DA10A2" w:rsidRDefault="00C240C1" w:rsidP="00C240C1">
      <w:pPr>
        <w:spacing w:line="240" w:lineRule="auto"/>
        <w:rPr>
          <w:rFonts w:ascii="BNPP Sans Light" w:eastAsia="Batang" w:hAnsi="BNPP Sans Light" w:cs="Arial Narrow"/>
          <w:bCs/>
          <w:sz w:val="20"/>
          <w:lang w:val="en-GB"/>
        </w:rPr>
      </w:pPr>
    </w:p>
    <w:p w14:paraId="194820F3" w14:textId="77777777" w:rsidR="00C240C1" w:rsidRPr="00DA10A2" w:rsidRDefault="00C240C1" w:rsidP="00C240C1">
      <w:p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This material is produced for information purposes only and does not constitute:</w:t>
      </w:r>
    </w:p>
    <w:p w14:paraId="7F24CB63" w14:textId="77777777" w:rsidR="00C240C1" w:rsidRPr="00DA10A2" w:rsidRDefault="00C240C1" w:rsidP="00C240C1">
      <w:pPr>
        <w:spacing w:line="240" w:lineRule="auto"/>
        <w:rPr>
          <w:rFonts w:ascii="BNPP Sans Light" w:eastAsia="Batang" w:hAnsi="BNPP Sans Light" w:cs="Arial Narrow"/>
          <w:bCs/>
          <w:sz w:val="20"/>
          <w:lang w:val="en-GB"/>
        </w:rPr>
      </w:pPr>
    </w:p>
    <w:p w14:paraId="419B8F3F" w14:textId="77777777" w:rsidR="00C240C1" w:rsidRPr="00DA10A2" w:rsidRDefault="00C240C1" w:rsidP="00C240C1">
      <w:pPr>
        <w:pStyle w:val="ListParagraph"/>
        <w:numPr>
          <w:ilvl w:val="0"/>
          <w:numId w:val="9"/>
        </w:num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an offer to buy nor a solicitation to sell, nor shall it form the basis of or be relied upon in connection with any contract or commitment whatsoever or</w:t>
      </w:r>
    </w:p>
    <w:p w14:paraId="07D34E83" w14:textId="77777777" w:rsidR="00C240C1" w:rsidRPr="00DA10A2" w:rsidRDefault="00C240C1" w:rsidP="00C240C1">
      <w:pPr>
        <w:pStyle w:val="ListParagraph"/>
        <w:numPr>
          <w:ilvl w:val="0"/>
          <w:numId w:val="9"/>
        </w:num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investment advice.</w:t>
      </w:r>
    </w:p>
    <w:p w14:paraId="5077BD46" w14:textId="77777777" w:rsidR="00C240C1" w:rsidRPr="00DA10A2" w:rsidRDefault="00C240C1" w:rsidP="00C240C1">
      <w:pPr>
        <w:spacing w:line="240" w:lineRule="auto"/>
        <w:rPr>
          <w:rFonts w:ascii="BNPP Sans Light" w:eastAsia="Batang" w:hAnsi="BNPP Sans Light" w:cs="Arial Narrow"/>
          <w:bCs/>
          <w:sz w:val="20"/>
          <w:lang w:val="en-GB"/>
        </w:rPr>
      </w:pPr>
    </w:p>
    <w:p w14:paraId="1CA4FD6D" w14:textId="77777777" w:rsidR="00C240C1" w:rsidRPr="00DA10A2" w:rsidRDefault="00C240C1" w:rsidP="00C240C1">
      <w:p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This material is issued and has been prepared by the investment company.  It contains opinions and statistical data that are considered lawful and correct on the day of their publication according to the economic and financial environment at the time.  This document does not constitute investment advice or form part of an offer or invitation to subscribe for or to purchase any financial instrument(s) nor shall it or any part of it form the basis of any contract or commitment whatsoever.</w:t>
      </w:r>
    </w:p>
    <w:p w14:paraId="009AEDA8" w14:textId="77777777" w:rsidR="00C240C1" w:rsidRPr="00DA10A2" w:rsidRDefault="00C240C1" w:rsidP="00C240C1">
      <w:pPr>
        <w:spacing w:line="240" w:lineRule="auto"/>
        <w:rPr>
          <w:rFonts w:ascii="BNPP Sans Light" w:eastAsia="Batang" w:hAnsi="BNPP Sans Light" w:cs="Arial Narrow"/>
          <w:bCs/>
          <w:sz w:val="20"/>
          <w:lang w:val="en-GB"/>
        </w:rPr>
      </w:pPr>
    </w:p>
    <w:p w14:paraId="0D655D7A" w14:textId="77777777" w:rsidR="00C240C1" w:rsidRPr="00DA10A2" w:rsidRDefault="00C240C1" w:rsidP="00C240C1">
      <w:p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 xml:space="preserve">This document is provided without knowledge of an investors’ situation.  Prior to any subscription, investors should verify in which countries the financial instruments referred to in this document are registered and authorised for public sale.  In particular, financial instruments cannot be offered or sold publicly in the United States.  Investors considering subscriptions should read carefully the most recent prospectus and Key Investor Information Document (KIID) agreed by the regulatory authority, available on the website.  Investors are invited to consult the most recent financial reports, which are also available on the website.  Investors should consult their own legal and tax advisors prior to investing.  Given the economic and market risks, there can be no assurance that the financial instruments will achieve their investment objectives.  Their value can decrease as well as increase.  In particular, changes in currency exchange rates may affect the value of an investment.  Performance is shown net of management fees and is calculated using global </w:t>
      </w:r>
      <w:r w:rsidRPr="00DA10A2">
        <w:rPr>
          <w:rFonts w:ascii="BNPP Sans Light" w:eastAsia="Batang" w:hAnsi="BNPP Sans Light" w:cs="Arial Narrow"/>
          <w:bCs/>
          <w:sz w:val="20"/>
          <w:lang w:val="en-GB"/>
        </w:rPr>
        <w:lastRenderedPageBreak/>
        <w:t>returns with time factored in, with net dividends and reinvested interest, and does not include subscription-redemption fees, exchange rate fees or tax.  Any gross of fees performance included in this material do not reflect the deduction of commission, fees and other expenses incurred.  Returns will be reduced after the deduction of such fees.  Past performance is not a guarantee of future results.</w:t>
      </w:r>
    </w:p>
    <w:p w14:paraId="04BFBEA8" w14:textId="77777777" w:rsidR="00C240C1" w:rsidRPr="00DA10A2" w:rsidRDefault="00C240C1" w:rsidP="00C240C1">
      <w:pPr>
        <w:spacing w:line="240" w:lineRule="auto"/>
        <w:rPr>
          <w:rFonts w:ascii="BNPP Sans Light" w:eastAsia="Batang" w:hAnsi="BNPP Sans Light" w:cs="Arial Narrow"/>
          <w:bCs/>
          <w:sz w:val="20"/>
          <w:lang w:val="en-GB"/>
        </w:rPr>
      </w:pPr>
    </w:p>
    <w:p w14:paraId="4B01E263" w14:textId="77777777" w:rsidR="00C240C1" w:rsidRPr="00DA10A2" w:rsidRDefault="00C240C1" w:rsidP="00C240C1">
      <w:p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This document is directed only at person(s) who have professional experience in matters relating to investments (‘relevant persons’).  Any investment or investment activity to which this document relates is available only to and will be engaged in only with Professional Clients as defined in the rules of the Financial Conduct Authority.  Any person who is not a relevant person should not act or rely on this document or any of its contents.</w:t>
      </w:r>
    </w:p>
    <w:p w14:paraId="2256C203" w14:textId="77777777" w:rsidR="00C240C1" w:rsidRPr="00DA10A2" w:rsidRDefault="00C240C1" w:rsidP="00C240C1">
      <w:pPr>
        <w:spacing w:line="240" w:lineRule="auto"/>
        <w:rPr>
          <w:rFonts w:ascii="BNPP Sans Light" w:eastAsia="Batang" w:hAnsi="BNPP Sans Light" w:cs="Arial Narrow"/>
          <w:bCs/>
          <w:sz w:val="20"/>
          <w:lang w:val="en-GB"/>
        </w:rPr>
      </w:pPr>
    </w:p>
    <w:p w14:paraId="755DC2F4" w14:textId="77777777" w:rsidR="00C240C1" w:rsidRPr="00DA10A2" w:rsidRDefault="00C240C1" w:rsidP="00C240C1">
      <w:p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 xml:space="preserve">All information referred to in the present document is available at </w:t>
      </w:r>
      <w:hyperlink r:id="rId22" w:history="1">
        <w:r w:rsidRPr="00DA10A2">
          <w:rPr>
            <w:rFonts w:ascii="BNPP Sans Light" w:eastAsia="Batang" w:hAnsi="BNPP Sans Light" w:cs="Arial Narrow"/>
            <w:bCs/>
            <w:color w:val="00A76C" w:themeColor="accent6"/>
            <w:sz w:val="20"/>
            <w:lang w:val="en-GB"/>
          </w:rPr>
          <w:t>www.bnpparibas-am.com</w:t>
        </w:r>
      </w:hyperlink>
      <w:r w:rsidRPr="00DA10A2">
        <w:rPr>
          <w:rFonts w:ascii="BNPP Sans Light" w:eastAsia="Batang" w:hAnsi="BNPP Sans Light" w:cs="Arial Narrow"/>
          <w:bCs/>
          <w:sz w:val="20"/>
          <w:lang w:val="en-GB"/>
        </w:rPr>
        <w:t>.</w:t>
      </w:r>
    </w:p>
    <w:p w14:paraId="290D10FD" w14:textId="77777777" w:rsidR="00C240C1" w:rsidRPr="00DA10A2" w:rsidRDefault="00C240C1" w:rsidP="00C240C1">
      <w:pPr>
        <w:spacing w:line="240" w:lineRule="auto"/>
        <w:rPr>
          <w:rFonts w:ascii="BNPP Sans Light" w:eastAsia="Batang" w:hAnsi="BNPP Sans Light" w:cs="Arial Narrow"/>
          <w:bCs/>
          <w:sz w:val="20"/>
          <w:lang w:val="en-GB"/>
        </w:rPr>
      </w:pPr>
    </w:p>
    <w:p w14:paraId="7551879C" w14:textId="77777777" w:rsidR="00C240C1" w:rsidRPr="00DA10A2" w:rsidRDefault="00C240C1" w:rsidP="00C240C1">
      <w:p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This is a Marketing Communication for Professional Investors only.  No assurance can be given that any forecast, target or opinion will materialise.</w:t>
      </w:r>
    </w:p>
    <w:p w14:paraId="53CC535F" w14:textId="77777777" w:rsidR="00C240C1" w:rsidRPr="00DA10A2" w:rsidRDefault="00C240C1" w:rsidP="00C240C1">
      <w:pPr>
        <w:spacing w:line="240" w:lineRule="auto"/>
        <w:rPr>
          <w:rFonts w:ascii="BNPP Sans Light" w:eastAsia="Batang" w:hAnsi="BNPP Sans Light" w:cs="Arial Narrow"/>
          <w:bCs/>
          <w:sz w:val="20"/>
          <w:lang w:val="en-GB"/>
        </w:rPr>
      </w:pPr>
    </w:p>
    <w:p w14:paraId="7C62B19A" w14:textId="1B74FF8A" w:rsidR="00C240C1" w:rsidRPr="00DA10A2" w:rsidRDefault="00C240C1" w:rsidP="00C01F2C">
      <w:pPr>
        <w:spacing w:line="240" w:lineRule="auto"/>
        <w:rPr>
          <w:rFonts w:ascii="BNPP Sans Light" w:eastAsia="MS Mincho" w:hAnsi="BNPP Sans Light" w:cs="Arial"/>
          <w:sz w:val="20"/>
          <w:lang w:val="en-GB"/>
        </w:rPr>
      </w:pPr>
      <w:r w:rsidRPr="00DA10A2">
        <w:rPr>
          <w:rFonts w:ascii="BNPP Sans Light" w:eastAsia="Batang" w:hAnsi="BNPP Sans Light" w:cs="Arial Narrow"/>
          <w:bCs/>
          <w:sz w:val="20"/>
          <w:lang w:val="en-GB"/>
        </w:rPr>
        <w:t xml:space="preserve">As at </w:t>
      </w:r>
      <w:r w:rsidR="00734688">
        <w:rPr>
          <w:rFonts w:ascii="BNPP Sans Light" w:eastAsia="Batang" w:hAnsi="BNPP Sans Light" w:cs="Arial Narrow"/>
          <w:bCs/>
          <w:sz w:val="20"/>
          <w:lang w:val="en-GB"/>
        </w:rPr>
        <w:t>June</w:t>
      </w:r>
      <w:r w:rsidRPr="00DA10A2">
        <w:rPr>
          <w:rFonts w:ascii="BNPP Sans Light" w:eastAsia="Batang" w:hAnsi="BNPP Sans Light" w:cs="Arial Narrow"/>
          <w:bCs/>
          <w:sz w:val="20"/>
          <w:lang w:val="en-GB"/>
        </w:rPr>
        <w:t xml:space="preserve"> 2022.</w:t>
      </w:r>
    </w:p>
    <w:sectPr w:rsidR="00C240C1" w:rsidRPr="00DA10A2" w:rsidSect="000667D2">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1260" w:left="851" w:header="0" w:footer="7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E22D" w16cex:dateUtc="2022-06-13T15:19:00Z"/>
  <w16cex:commentExtensible w16cex:durableId="2651E23F" w16cex:dateUtc="2022-06-13T15:20:00Z"/>
  <w16cex:commentExtensible w16cex:durableId="2651E27C" w16cex:dateUtc="2022-06-13T15:21:00Z"/>
  <w16cex:commentExtensible w16cex:durableId="2651E331" w16cex:dateUtc="2022-06-13T15:24:00Z"/>
  <w16cex:commentExtensible w16cex:durableId="2655D12E" w16cex:dateUtc="2022-06-16T14:56:00Z"/>
  <w16cex:commentExtensible w16cex:durableId="2651E6C0" w16cex:dateUtc="2022-06-13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702B10" w16cid:durableId="2651E22D"/>
  <w16cid:commentId w16cid:paraId="2346E49C" w16cid:durableId="2651E23F"/>
  <w16cid:commentId w16cid:paraId="19EAECFB" w16cid:durableId="2651E27C"/>
  <w16cid:commentId w16cid:paraId="46F03919" w16cid:durableId="2651E331"/>
  <w16cid:commentId w16cid:paraId="1F33554C" w16cid:durableId="2655D12E"/>
  <w16cid:commentId w16cid:paraId="4F17C343" w16cid:durableId="2651E6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86DF8" w14:textId="77777777" w:rsidR="001303BB" w:rsidRDefault="001303BB" w:rsidP="008C4C01">
      <w:r>
        <w:separator/>
      </w:r>
    </w:p>
  </w:endnote>
  <w:endnote w:type="continuationSeparator" w:id="0">
    <w:p w14:paraId="4B369B48" w14:textId="77777777" w:rsidR="001303BB" w:rsidRDefault="001303BB"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NPP Sans Light">
    <w:altName w:val="Calibri"/>
    <w:panose1 w:val="02000503020000020004"/>
    <w:charset w:val="00"/>
    <w:family w:val="modern"/>
    <w:notTrueType/>
    <w:pitch w:val="variable"/>
    <w:sig w:usb0="A00002AF" w:usb1="4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NPP Sans">
    <w:altName w:val="Calibri"/>
    <w:panose1 w:val="02000000000000000000"/>
    <w:charset w:val="00"/>
    <w:family w:val="modern"/>
    <w:notTrueType/>
    <w:pitch w:val="variable"/>
    <w:sig w:usb0="A00002AF" w:usb1="4000204A"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635A" w14:textId="77777777" w:rsidR="00236BAD" w:rsidRDefault="0023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FB18" w14:textId="29A27DF9" w:rsidR="00161CB7" w:rsidRDefault="00A61DC1" w:rsidP="008C4C01">
    <w:pPr>
      <w:pStyle w:val="Footer"/>
    </w:pPr>
    <w:r>
      <w:rPr>
        <w:noProof/>
        <w:lang w:val="en-GB" w:eastAsia="en-GB"/>
      </w:rPr>
      <w:drawing>
        <wp:inline distT="0" distB="0" distL="0" distR="0" wp14:anchorId="470B0573" wp14:editId="0CDCDF0D">
          <wp:extent cx="5943600" cy="626960"/>
          <wp:effectExtent l="0" t="0" r="0" b="190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_AM_EN.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269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4AF0E" w14:textId="77777777" w:rsidR="00236BAD" w:rsidRDefault="00236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08761" w14:textId="77777777" w:rsidR="001303BB" w:rsidRDefault="001303BB" w:rsidP="008C4C01">
      <w:r>
        <w:separator/>
      </w:r>
    </w:p>
  </w:footnote>
  <w:footnote w:type="continuationSeparator" w:id="0">
    <w:p w14:paraId="2E9CFDD4" w14:textId="77777777" w:rsidR="001303BB" w:rsidRDefault="001303BB" w:rsidP="008C4C01">
      <w:r>
        <w:continuationSeparator/>
      </w:r>
    </w:p>
  </w:footnote>
  <w:footnote w:id="1">
    <w:p w14:paraId="309B0CDE" w14:textId="29B4603C" w:rsidR="006D571E" w:rsidRPr="006D571E" w:rsidRDefault="006D571E">
      <w:pPr>
        <w:pStyle w:val="FootnoteText"/>
        <w:rPr>
          <w:rFonts w:ascii="BNPP Sans Light" w:hAnsi="BNPP Sans Light"/>
          <w:sz w:val="16"/>
          <w:szCs w:val="16"/>
          <w:lang w:val="en-GB"/>
        </w:rPr>
      </w:pPr>
      <w:r>
        <w:rPr>
          <w:rStyle w:val="FootnoteReference"/>
        </w:rPr>
        <w:footnoteRef/>
      </w:r>
      <w:r w:rsidRPr="006D571E">
        <w:rPr>
          <w:lang w:val="en-GB"/>
        </w:rPr>
        <w:t xml:space="preserve"> </w:t>
      </w:r>
      <w:r w:rsidRPr="006D571E">
        <w:rPr>
          <w:rFonts w:ascii="BNPP Sans Light" w:hAnsi="BNPP Sans Light"/>
          <w:sz w:val="16"/>
          <w:szCs w:val="16"/>
          <w:lang w:val="en-GB"/>
        </w:rPr>
        <w:t xml:space="preserve">Survey conducted in </w:t>
      </w:r>
      <w:r w:rsidR="003058C8">
        <w:rPr>
          <w:rFonts w:ascii="BNPP Sans Light" w:hAnsi="BNPP Sans Light"/>
          <w:sz w:val="16"/>
          <w:szCs w:val="16"/>
          <w:lang w:val="en-GB"/>
        </w:rPr>
        <w:t>April</w:t>
      </w:r>
      <w:r w:rsidR="00E41F37">
        <w:rPr>
          <w:rFonts w:ascii="BNPP Sans Light" w:hAnsi="BNPP Sans Light"/>
          <w:sz w:val="16"/>
          <w:szCs w:val="16"/>
          <w:lang w:val="en-GB"/>
        </w:rPr>
        <w:t xml:space="preserve"> </w:t>
      </w:r>
      <w:r w:rsidRPr="006D571E">
        <w:rPr>
          <w:rFonts w:ascii="BNPP Sans Light" w:hAnsi="BNPP Sans Light"/>
          <w:sz w:val="16"/>
          <w:szCs w:val="16"/>
          <w:lang w:val="en-GB"/>
        </w:rPr>
        <w:t xml:space="preserve">2022 on behalf of BNP Paribas Asset Management by Longitude, </w:t>
      </w:r>
      <w:r w:rsidR="00734688">
        <w:rPr>
          <w:rFonts w:ascii="BNPP Sans Light" w:hAnsi="BNPP Sans Light"/>
          <w:sz w:val="16"/>
          <w:szCs w:val="16"/>
          <w:lang w:val="en-GB"/>
        </w:rPr>
        <w:t xml:space="preserve">a </w:t>
      </w:r>
      <w:r w:rsidRPr="006D571E">
        <w:rPr>
          <w:rFonts w:ascii="BNPP Sans Light" w:hAnsi="BNPP Sans Light"/>
          <w:sz w:val="16"/>
          <w:szCs w:val="16"/>
          <w:lang w:val="en-GB"/>
        </w:rPr>
        <w:t xml:space="preserve">Financial Times </w:t>
      </w:r>
      <w:r w:rsidR="00734688">
        <w:rPr>
          <w:rFonts w:ascii="BNPP Sans Light" w:hAnsi="BNPP Sans Light"/>
          <w:sz w:val="16"/>
          <w:szCs w:val="16"/>
          <w:lang w:val="en-GB"/>
        </w:rPr>
        <w:t>company</w:t>
      </w:r>
      <w:r w:rsidRPr="006D571E">
        <w:rPr>
          <w:rFonts w:ascii="BNPP Sans Light" w:hAnsi="BNPP Sans Light"/>
          <w:sz w:val="16"/>
          <w:szCs w:val="16"/>
          <w:lang w:val="en-GB"/>
        </w:rPr>
        <w:t>.</w:t>
      </w:r>
      <w:r>
        <w:rPr>
          <w:rFonts w:ascii="BNPP Sans Light" w:hAnsi="BNPP Sans Light"/>
          <w:sz w:val="16"/>
          <w:szCs w:val="16"/>
          <w:lang w:val="en-GB"/>
        </w:rPr>
        <w:t xml:space="preserve">  Respondents included asset managers and asset owners based in France, Germany, Italy, Switzerland and the UK.</w:t>
      </w:r>
    </w:p>
  </w:footnote>
  <w:footnote w:id="2">
    <w:p w14:paraId="58A7950E" w14:textId="07FBB9DF" w:rsidR="006D571E" w:rsidRPr="006D571E" w:rsidRDefault="006D571E">
      <w:pPr>
        <w:pStyle w:val="FootnoteText"/>
        <w:rPr>
          <w:rFonts w:ascii="BNPP Sans Light" w:hAnsi="BNPP Sans Light"/>
          <w:sz w:val="16"/>
          <w:szCs w:val="16"/>
          <w:lang w:val="en-GB"/>
        </w:rPr>
      </w:pPr>
      <w:r>
        <w:rPr>
          <w:rStyle w:val="FootnoteReference"/>
        </w:rPr>
        <w:footnoteRef/>
      </w:r>
      <w:r w:rsidRPr="006D571E">
        <w:rPr>
          <w:lang w:val="en-GB"/>
        </w:rPr>
        <w:t xml:space="preserve"> </w:t>
      </w:r>
      <w:r w:rsidRPr="006D571E">
        <w:rPr>
          <w:rFonts w:ascii="BNPP Sans Light" w:hAnsi="BNPP Sans Light"/>
          <w:sz w:val="16"/>
          <w:szCs w:val="16"/>
          <w:lang w:val="en-GB"/>
        </w:rPr>
        <w:t>Environmental, Social &amp; Governance</w:t>
      </w:r>
    </w:p>
  </w:footnote>
  <w:footnote w:id="3">
    <w:p w14:paraId="435AC4B8" w14:textId="056569D6" w:rsidR="006D571E" w:rsidRPr="006D571E" w:rsidRDefault="006D571E">
      <w:pPr>
        <w:pStyle w:val="FootnoteText"/>
        <w:rPr>
          <w:rFonts w:ascii="BNPP Sans Light" w:hAnsi="BNPP Sans Light"/>
          <w:sz w:val="16"/>
          <w:szCs w:val="16"/>
          <w:lang w:val="en-GB"/>
        </w:rPr>
      </w:pPr>
      <w:r w:rsidRPr="006D571E">
        <w:rPr>
          <w:rStyle w:val="FootnoteReference"/>
          <w:rFonts w:ascii="BNPP Sans Light" w:hAnsi="BNPP Sans Light"/>
        </w:rPr>
        <w:footnoteRef/>
      </w:r>
      <w:r w:rsidRPr="00E41F37">
        <w:rPr>
          <w:rFonts w:ascii="BNPP Sans Light" w:hAnsi="BNPP Sans Light"/>
          <w:lang w:val="en-GB"/>
        </w:rPr>
        <w:t xml:space="preserve"> </w:t>
      </w:r>
      <w:r w:rsidRPr="006D571E">
        <w:rPr>
          <w:rFonts w:ascii="BNPP Sans Light" w:hAnsi="BNPP Sans Light"/>
          <w:sz w:val="16"/>
          <w:szCs w:val="16"/>
          <w:lang w:val="en-GB"/>
        </w:rPr>
        <w:t>Exchange Traded Fund</w:t>
      </w:r>
    </w:p>
  </w:footnote>
  <w:footnote w:id="4">
    <w:p w14:paraId="7821A63A" w14:textId="77777777" w:rsidR="00505A9F" w:rsidRPr="00190FC9" w:rsidRDefault="00505A9F" w:rsidP="00505A9F">
      <w:pPr>
        <w:pStyle w:val="FootnoteText"/>
        <w:rPr>
          <w:rFonts w:ascii="BNPP Sans Light" w:hAnsi="BNPP Sans Light"/>
          <w:sz w:val="16"/>
          <w:szCs w:val="16"/>
          <w:lang w:val="en-GB"/>
        </w:rPr>
      </w:pPr>
      <w:r>
        <w:rPr>
          <w:rStyle w:val="FootnoteReference"/>
        </w:rPr>
        <w:footnoteRef/>
      </w:r>
      <w:r>
        <w:t xml:space="preserve"> </w:t>
      </w:r>
      <w:r w:rsidRPr="00190FC9">
        <w:rPr>
          <w:rFonts w:ascii="BNPP Sans Light" w:hAnsi="BNPP Sans Light"/>
          <w:sz w:val="16"/>
          <w:szCs w:val="16"/>
          <w:lang w:val="en-GB"/>
        </w:rPr>
        <w:t>Source: ETFGI,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C3B79" w14:textId="77777777" w:rsidR="00236BAD" w:rsidRDefault="00236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1BC0" w14:textId="77777777" w:rsidR="00236BAD" w:rsidRDefault="00236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E4AA" w14:textId="77777777" w:rsidR="00236BAD" w:rsidRDefault="00236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76D"/>
    <w:multiLevelType w:val="hybridMultilevel"/>
    <w:tmpl w:val="76A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026C3"/>
    <w:multiLevelType w:val="hybridMultilevel"/>
    <w:tmpl w:val="9A8A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F53F8"/>
    <w:multiLevelType w:val="hybridMultilevel"/>
    <w:tmpl w:val="198EE520"/>
    <w:lvl w:ilvl="0" w:tplc="28B284B4">
      <w:start w:val="1"/>
      <w:numFmt w:val="bullet"/>
      <w:lvlText w:val="•"/>
      <w:lvlJc w:val="left"/>
      <w:pPr>
        <w:ind w:left="720" w:hanging="360"/>
      </w:pPr>
      <w:rPr>
        <w:rFonts w:ascii="BNPP Sans Light" w:eastAsiaTheme="minorHAnsi" w:hAnsi="BNPP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72BC5"/>
    <w:multiLevelType w:val="hybridMultilevel"/>
    <w:tmpl w:val="D76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0687D"/>
    <w:multiLevelType w:val="hybridMultilevel"/>
    <w:tmpl w:val="3A4CFCFA"/>
    <w:lvl w:ilvl="0" w:tplc="77BCD72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54EAA"/>
    <w:multiLevelType w:val="hybridMultilevel"/>
    <w:tmpl w:val="20F48538"/>
    <w:lvl w:ilvl="0" w:tplc="28B284B4">
      <w:start w:val="1"/>
      <w:numFmt w:val="bullet"/>
      <w:lvlText w:val="•"/>
      <w:lvlJc w:val="left"/>
      <w:pPr>
        <w:ind w:left="720" w:hanging="360"/>
      </w:pPr>
      <w:rPr>
        <w:rFonts w:ascii="BNPP Sans Light" w:eastAsiaTheme="minorHAnsi" w:hAnsi="BNPP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B2E"/>
    <w:multiLevelType w:val="hybridMultilevel"/>
    <w:tmpl w:val="66FC2922"/>
    <w:lvl w:ilvl="0" w:tplc="7D349952">
      <w:start w:val="27"/>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159CE"/>
    <w:multiLevelType w:val="hybridMultilevel"/>
    <w:tmpl w:val="5FFA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96B02"/>
    <w:multiLevelType w:val="hybridMultilevel"/>
    <w:tmpl w:val="E32CBCBC"/>
    <w:lvl w:ilvl="0" w:tplc="F4864D32">
      <w:numFmt w:val="bullet"/>
      <w:lvlText w:val="•"/>
      <w:lvlJc w:val="left"/>
      <w:pPr>
        <w:ind w:left="720" w:hanging="360"/>
      </w:pPr>
      <w:rPr>
        <w:rFonts w:ascii="BNPP Sans Light" w:eastAsiaTheme="minorHAnsi" w:hAnsi="BNPP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D3E6E"/>
    <w:multiLevelType w:val="hybridMultilevel"/>
    <w:tmpl w:val="7EE4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E465E"/>
    <w:multiLevelType w:val="hybridMultilevel"/>
    <w:tmpl w:val="69C0541A"/>
    <w:lvl w:ilvl="0" w:tplc="08090001">
      <w:start w:val="1"/>
      <w:numFmt w:val="bullet"/>
      <w:lvlText w:val=""/>
      <w:lvlJc w:val="left"/>
      <w:pPr>
        <w:ind w:left="1065" w:hanging="7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C0768"/>
    <w:multiLevelType w:val="multilevel"/>
    <w:tmpl w:val="AC1E6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C061C"/>
    <w:multiLevelType w:val="hybridMultilevel"/>
    <w:tmpl w:val="B3A43460"/>
    <w:lvl w:ilvl="0" w:tplc="662634D2">
      <w:numFmt w:val="bullet"/>
      <w:lvlText w:val="•"/>
      <w:lvlJc w:val="left"/>
      <w:pPr>
        <w:ind w:left="1065" w:hanging="705"/>
      </w:pPr>
      <w:rPr>
        <w:rFonts w:ascii="BNPP Sans Light" w:eastAsia="MS Mincho" w:hAnsi="BNPP Sans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95E01"/>
    <w:multiLevelType w:val="hybridMultilevel"/>
    <w:tmpl w:val="1772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23B19"/>
    <w:multiLevelType w:val="hybridMultilevel"/>
    <w:tmpl w:val="F9388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D77A15"/>
    <w:multiLevelType w:val="hybridMultilevel"/>
    <w:tmpl w:val="9118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22106"/>
    <w:multiLevelType w:val="hybridMultilevel"/>
    <w:tmpl w:val="31444298"/>
    <w:lvl w:ilvl="0" w:tplc="28B284B4">
      <w:start w:val="1"/>
      <w:numFmt w:val="bullet"/>
      <w:lvlText w:val="•"/>
      <w:lvlJc w:val="left"/>
      <w:pPr>
        <w:ind w:left="720" w:hanging="360"/>
      </w:pPr>
      <w:rPr>
        <w:rFonts w:ascii="BNPP Sans Light" w:eastAsiaTheme="minorHAnsi" w:hAnsi="BNPP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B30E1"/>
    <w:multiLevelType w:val="hybridMultilevel"/>
    <w:tmpl w:val="EB8025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C2098C"/>
    <w:multiLevelType w:val="hybridMultilevel"/>
    <w:tmpl w:val="D5D6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B05B1"/>
    <w:multiLevelType w:val="hybridMultilevel"/>
    <w:tmpl w:val="9230B04E"/>
    <w:lvl w:ilvl="0" w:tplc="28B284B4">
      <w:start w:val="1"/>
      <w:numFmt w:val="bullet"/>
      <w:lvlText w:val="•"/>
      <w:lvlJc w:val="left"/>
      <w:pPr>
        <w:ind w:left="720" w:hanging="360"/>
      </w:pPr>
      <w:rPr>
        <w:rFonts w:ascii="BNPP Sans Light" w:eastAsiaTheme="minorHAnsi" w:hAnsi="BNPP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6E0268"/>
    <w:multiLevelType w:val="hybridMultilevel"/>
    <w:tmpl w:val="83A022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563878"/>
    <w:multiLevelType w:val="hybridMultilevel"/>
    <w:tmpl w:val="135C3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D81F0A"/>
    <w:multiLevelType w:val="hybridMultilevel"/>
    <w:tmpl w:val="10FC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B0B21"/>
    <w:multiLevelType w:val="hybridMultilevel"/>
    <w:tmpl w:val="96BE6F8C"/>
    <w:lvl w:ilvl="0" w:tplc="3DC05F2C">
      <w:numFmt w:val="bullet"/>
      <w:lvlText w:val="•"/>
      <w:lvlJc w:val="left"/>
      <w:pPr>
        <w:ind w:left="720" w:hanging="360"/>
      </w:pPr>
      <w:rPr>
        <w:rFonts w:ascii="BNPP Sans Light" w:eastAsiaTheme="minorHAnsi" w:hAnsi="BNPP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C78CD"/>
    <w:multiLevelType w:val="hybridMultilevel"/>
    <w:tmpl w:val="3BD2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D25D4"/>
    <w:multiLevelType w:val="hybridMultilevel"/>
    <w:tmpl w:val="69CC1B8E"/>
    <w:lvl w:ilvl="0" w:tplc="9BC2F812">
      <w:numFmt w:val="bullet"/>
      <w:lvlText w:val="-"/>
      <w:lvlJc w:val="left"/>
      <w:pPr>
        <w:ind w:left="720" w:hanging="360"/>
      </w:pPr>
      <w:rPr>
        <w:rFonts w:ascii="BNPP Sans Light" w:eastAsiaTheme="minorHAnsi" w:hAnsi="BNPP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7259A"/>
    <w:multiLevelType w:val="hybridMultilevel"/>
    <w:tmpl w:val="9054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623F6"/>
    <w:multiLevelType w:val="hybridMultilevel"/>
    <w:tmpl w:val="F4B8DB1E"/>
    <w:lvl w:ilvl="0" w:tplc="E16CAF70">
      <w:numFmt w:val="bullet"/>
      <w:lvlText w:val="•"/>
      <w:lvlJc w:val="left"/>
      <w:pPr>
        <w:ind w:left="720" w:hanging="360"/>
      </w:pPr>
      <w:rPr>
        <w:rFonts w:ascii="BNPP Sans Light" w:eastAsiaTheme="minorHAnsi" w:hAnsi="BNPP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9"/>
  </w:num>
  <w:num w:numId="5">
    <w:abstractNumId w:val="16"/>
  </w:num>
  <w:num w:numId="6">
    <w:abstractNumId w:val="5"/>
  </w:num>
  <w:num w:numId="7">
    <w:abstractNumId w:val="2"/>
  </w:num>
  <w:num w:numId="8">
    <w:abstractNumId w:val="21"/>
  </w:num>
  <w:num w:numId="9">
    <w:abstractNumId w:val="4"/>
  </w:num>
  <w:num w:numId="10">
    <w:abstractNumId w:val="18"/>
  </w:num>
  <w:num w:numId="11">
    <w:abstractNumId w:val="27"/>
  </w:num>
  <w:num w:numId="12">
    <w:abstractNumId w:val="14"/>
  </w:num>
  <w:num w:numId="13">
    <w:abstractNumId w:val="3"/>
  </w:num>
  <w:num w:numId="14">
    <w:abstractNumId w:val="7"/>
  </w:num>
  <w:num w:numId="15">
    <w:abstractNumId w:val="0"/>
  </w:num>
  <w:num w:numId="16">
    <w:abstractNumId w:val="15"/>
  </w:num>
  <w:num w:numId="17">
    <w:abstractNumId w:val="26"/>
  </w:num>
  <w:num w:numId="18">
    <w:abstractNumId w:val="23"/>
  </w:num>
  <w:num w:numId="19">
    <w:abstractNumId w:val="13"/>
  </w:num>
  <w:num w:numId="20">
    <w:abstractNumId w:val="8"/>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4"/>
  </w:num>
  <w:num w:numId="25">
    <w:abstractNumId w:val="22"/>
  </w:num>
  <w:num w:numId="26">
    <w:abstractNumId w:val="12"/>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F2"/>
    <w:rsid w:val="00000F9C"/>
    <w:rsid w:val="00003475"/>
    <w:rsid w:val="00010A45"/>
    <w:rsid w:val="000121D1"/>
    <w:rsid w:val="00021698"/>
    <w:rsid w:val="000222F0"/>
    <w:rsid w:val="00022709"/>
    <w:rsid w:val="00023B72"/>
    <w:rsid w:val="00025000"/>
    <w:rsid w:val="000271DC"/>
    <w:rsid w:val="00031BDD"/>
    <w:rsid w:val="00032329"/>
    <w:rsid w:val="00033D1F"/>
    <w:rsid w:val="00035034"/>
    <w:rsid w:val="00037754"/>
    <w:rsid w:val="00037896"/>
    <w:rsid w:val="000434CE"/>
    <w:rsid w:val="00047BFE"/>
    <w:rsid w:val="00050A92"/>
    <w:rsid w:val="0006085A"/>
    <w:rsid w:val="00060D9D"/>
    <w:rsid w:val="0006226E"/>
    <w:rsid w:val="0006620F"/>
    <w:rsid w:val="000667D2"/>
    <w:rsid w:val="00070A79"/>
    <w:rsid w:val="00071ECC"/>
    <w:rsid w:val="00074B2F"/>
    <w:rsid w:val="00076688"/>
    <w:rsid w:val="0008106C"/>
    <w:rsid w:val="00094494"/>
    <w:rsid w:val="000A01CF"/>
    <w:rsid w:val="000A4842"/>
    <w:rsid w:val="000A5508"/>
    <w:rsid w:val="000A665A"/>
    <w:rsid w:val="000B26C0"/>
    <w:rsid w:val="000B388E"/>
    <w:rsid w:val="000C1310"/>
    <w:rsid w:val="000C19E1"/>
    <w:rsid w:val="000C264C"/>
    <w:rsid w:val="000D3412"/>
    <w:rsid w:val="000E14BE"/>
    <w:rsid w:val="000E356D"/>
    <w:rsid w:val="000F0C9F"/>
    <w:rsid w:val="000F4835"/>
    <w:rsid w:val="000F5E61"/>
    <w:rsid w:val="000F6E7E"/>
    <w:rsid w:val="000F7375"/>
    <w:rsid w:val="000F748F"/>
    <w:rsid w:val="0010099B"/>
    <w:rsid w:val="00104163"/>
    <w:rsid w:val="001042AB"/>
    <w:rsid w:val="001142B6"/>
    <w:rsid w:val="00116A64"/>
    <w:rsid w:val="00117828"/>
    <w:rsid w:val="001245BF"/>
    <w:rsid w:val="0012649B"/>
    <w:rsid w:val="001303BB"/>
    <w:rsid w:val="00136A08"/>
    <w:rsid w:val="00137BCF"/>
    <w:rsid w:val="001502E8"/>
    <w:rsid w:val="001560DA"/>
    <w:rsid w:val="001574B5"/>
    <w:rsid w:val="00161CB7"/>
    <w:rsid w:val="00164482"/>
    <w:rsid w:val="0016526A"/>
    <w:rsid w:val="00170B83"/>
    <w:rsid w:val="00170FCF"/>
    <w:rsid w:val="00180F82"/>
    <w:rsid w:val="00182DC7"/>
    <w:rsid w:val="00184ED7"/>
    <w:rsid w:val="00186E5A"/>
    <w:rsid w:val="00190B32"/>
    <w:rsid w:val="00190FC9"/>
    <w:rsid w:val="0019414D"/>
    <w:rsid w:val="001A6821"/>
    <w:rsid w:val="001A738B"/>
    <w:rsid w:val="001A7BE5"/>
    <w:rsid w:val="001B0726"/>
    <w:rsid w:val="001B2435"/>
    <w:rsid w:val="001B302D"/>
    <w:rsid w:val="001C1DA3"/>
    <w:rsid w:val="001C1EB2"/>
    <w:rsid w:val="001E2421"/>
    <w:rsid w:val="001E34DB"/>
    <w:rsid w:val="001E44F8"/>
    <w:rsid w:val="001F0216"/>
    <w:rsid w:val="001F254F"/>
    <w:rsid w:val="00200B26"/>
    <w:rsid w:val="00201E79"/>
    <w:rsid w:val="00203A6E"/>
    <w:rsid w:val="00206CAC"/>
    <w:rsid w:val="00206EE4"/>
    <w:rsid w:val="00212EE8"/>
    <w:rsid w:val="002163F7"/>
    <w:rsid w:val="002242C4"/>
    <w:rsid w:val="00225AC1"/>
    <w:rsid w:val="0023143E"/>
    <w:rsid w:val="00234D7B"/>
    <w:rsid w:val="00235BDA"/>
    <w:rsid w:val="00236BAD"/>
    <w:rsid w:val="00242A8B"/>
    <w:rsid w:val="00247E3A"/>
    <w:rsid w:val="002503E6"/>
    <w:rsid w:val="0025189B"/>
    <w:rsid w:val="00256C37"/>
    <w:rsid w:val="00257C23"/>
    <w:rsid w:val="00272603"/>
    <w:rsid w:val="00273C69"/>
    <w:rsid w:val="00274045"/>
    <w:rsid w:val="002747AB"/>
    <w:rsid w:val="002751D2"/>
    <w:rsid w:val="00275374"/>
    <w:rsid w:val="00286B86"/>
    <w:rsid w:val="00286FC4"/>
    <w:rsid w:val="00294496"/>
    <w:rsid w:val="002A4D9A"/>
    <w:rsid w:val="002A55DD"/>
    <w:rsid w:val="002A658A"/>
    <w:rsid w:val="002B12D2"/>
    <w:rsid w:val="002B2C1A"/>
    <w:rsid w:val="002B52FF"/>
    <w:rsid w:val="002B6210"/>
    <w:rsid w:val="002B6E22"/>
    <w:rsid w:val="002C15E8"/>
    <w:rsid w:val="002C350C"/>
    <w:rsid w:val="002C5D50"/>
    <w:rsid w:val="002C658B"/>
    <w:rsid w:val="002C7DEE"/>
    <w:rsid w:val="002D108D"/>
    <w:rsid w:val="002D5E95"/>
    <w:rsid w:val="002D7FAC"/>
    <w:rsid w:val="002E5C9F"/>
    <w:rsid w:val="002E76B4"/>
    <w:rsid w:val="002F2B90"/>
    <w:rsid w:val="002F6EE7"/>
    <w:rsid w:val="002F760F"/>
    <w:rsid w:val="00300C45"/>
    <w:rsid w:val="003041A4"/>
    <w:rsid w:val="003058C8"/>
    <w:rsid w:val="003123C7"/>
    <w:rsid w:val="00324811"/>
    <w:rsid w:val="00335A39"/>
    <w:rsid w:val="00336245"/>
    <w:rsid w:val="00351897"/>
    <w:rsid w:val="00351A9A"/>
    <w:rsid w:val="00355DA1"/>
    <w:rsid w:val="0035633B"/>
    <w:rsid w:val="00363F6A"/>
    <w:rsid w:val="00372AA6"/>
    <w:rsid w:val="0037351E"/>
    <w:rsid w:val="00383D03"/>
    <w:rsid w:val="00384299"/>
    <w:rsid w:val="00396DCA"/>
    <w:rsid w:val="003A04F2"/>
    <w:rsid w:val="003A0CD7"/>
    <w:rsid w:val="003A107A"/>
    <w:rsid w:val="003A1ACF"/>
    <w:rsid w:val="003A4685"/>
    <w:rsid w:val="003B7533"/>
    <w:rsid w:val="003C2DF2"/>
    <w:rsid w:val="003C77A6"/>
    <w:rsid w:val="003D2092"/>
    <w:rsid w:val="003D28FC"/>
    <w:rsid w:val="003D5284"/>
    <w:rsid w:val="003E38CD"/>
    <w:rsid w:val="003E54DB"/>
    <w:rsid w:val="003E5B08"/>
    <w:rsid w:val="003E5D5D"/>
    <w:rsid w:val="003F4C1D"/>
    <w:rsid w:val="003F742C"/>
    <w:rsid w:val="0040134E"/>
    <w:rsid w:val="00416901"/>
    <w:rsid w:val="00416E50"/>
    <w:rsid w:val="00417738"/>
    <w:rsid w:val="00420E6C"/>
    <w:rsid w:val="00420F80"/>
    <w:rsid w:val="00421228"/>
    <w:rsid w:val="0042340B"/>
    <w:rsid w:val="004272A6"/>
    <w:rsid w:val="00432838"/>
    <w:rsid w:val="00435E6A"/>
    <w:rsid w:val="00436B30"/>
    <w:rsid w:val="004456EA"/>
    <w:rsid w:val="00446D29"/>
    <w:rsid w:val="0044743E"/>
    <w:rsid w:val="00453AFE"/>
    <w:rsid w:val="00456870"/>
    <w:rsid w:val="00457FD7"/>
    <w:rsid w:val="004668BA"/>
    <w:rsid w:val="00466AD8"/>
    <w:rsid w:val="00467D5A"/>
    <w:rsid w:val="0047047B"/>
    <w:rsid w:val="00472C91"/>
    <w:rsid w:val="00474F30"/>
    <w:rsid w:val="00476147"/>
    <w:rsid w:val="0048582C"/>
    <w:rsid w:val="0049331D"/>
    <w:rsid w:val="00494CC9"/>
    <w:rsid w:val="00495A30"/>
    <w:rsid w:val="00497CC9"/>
    <w:rsid w:val="004A1EF9"/>
    <w:rsid w:val="004A750C"/>
    <w:rsid w:val="004B0A83"/>
    <w:rsid w:val="004B1372"/>
    <w:rsid w:val="004B3E76"/>
    <w:rsid w:val="004B73CB"/>
    <w:rsid w:val="004C5F41"/>
    <w:rsid w:val="004C6292"/>
    <w:rsid w:val="004C63CB"/>
    <w:rsid w:val="004D4DF6"/>
    <w:rsid w:val="004D7AF3"/>
    <w:rsid w:val="004E511F"/>
    <w:rsid w:val="004E769D"/>
    <w:rsid w:val="004F1AE3"/>
    <w:rsid w:val="004F794F"/>
    <w:rsid w:val="005019E9"/>
    <w:rsid w:val="00502A60"/>
    <w:rsid w:val="00503FD5"/>
    <w:rsid w:val="00505675"/>
    <w:rsid w:val="00505A9F"/>
    <w:rsid w:val="00513314"/>
    <w:rsid w:val="00513FD5"/>
    <w:rsid w:val="005147FA"/>
    <w:rsid w:val="00514B75"/>
    <w:rsid w:val="00522951"/>
    <w:rsid w:val="005238BD"/>
    <w:rsid w:val="00525A2D"/>
    <w:rsid w:val="00535B82"/>
    <w:rsid w:val="0054287E"/>
    <w:rsid w:val="00542FA9"/>
    <w:rsid w:val="00545544"/>
    <w:rsid w:val="00545DEA"/>
    <w:rsid w:val="00560A92"/>
    <w:rsid w:val="00561AFA"/>
    <w:rsid w:val="00561C33"/>
    <w:rsid w:val="00561C3D"/>
    <w:rsid w:val="00563A98"/>
    <w:rsid w:val="00566C33"/>
    <w:rsid w:val="0057048F"/>
    <w:rsid w:val="00572F16"/>
    <w:rsid w:val="00580D3F"/>
    <w:rsid w:val="00583364"/>
    <w:rsid w:val="00586AD5"/>
    <w:rsid w:val="00591DF0"/>
    <w:rsid w:val="00592DF3"/>
    <w:rsid w:val="0059442D"/>
    <w:rsid w:val="005948F4"/>
    <w:rsid w:val="005971C6"/>
    <w:rsid w:val="005A01B5"/>
    <w:rsid w:val="005A442E"/>
    <w:rsid w:val="005A7A57"/>
    <w:rsid w:val="005B2C11"/>
    <w:rsid w:val="005B3E5B"/>
    <w:rsid w:val="005B4A79"/>
    <w:rsid w:val="005B5B38"/>
    <w:rsid w:val="005B5F69"/>
    <w:rsid w:val="005B6E8F"/>
    <w:rsid w:val="005C0601"/>
    <w:rsid w:val="005C18C9"/>
    <w:rsid w:val="005C48F3"/>
    <w:rsid w:val="005C726B"/>
    <w:rsid w:val="005C74AE"/>
    <w:rsid w:val="005E1AF3"/>
    <w:rsid w:val="005E2927"/>
    <w:rsid w:val="005E73F3"/>
    <w:rsid w:val="005F36F0"/>
    <w:rsid w:val="005F3FE0"/>
    <w:rsid w:val="005F6335"/>
    <w:rsid w:val="0060279E"/>
    <w:rsid w:val="0061308E"/>
    <w:rsid w:val="00613610"/>
    <w:rsid w:val="00624F68"/>
    <w:rsid w:val="00634E93"/>
    <w:rsid w:val="00635861"/>
    <w:rsid w:val="006365FA"/>
    <w:rsid w:val="00644DD5"/>
    <w:rsid w:val="006466C7"/>
    <w:rsid w:val="00646A50"/>
    <w:rsid w:val="00647643"/>
    <w:rsid w:val="00647CA1"/>
    <w:rsid w:val="006556E2"/>
    <w:rsid w:val="00656EDA"/>
    <w:rsid w:val="00670D64"/>
    <w:rsid w:val="006730A1"/>
    <w:rsid w:val="00673693"/>
    <w:rsid w:val="00683518"/>
    <w:rsid w:val="00683D0D"/>
    <w:rsid w:val="00683DD7"/>
    <w:rsid w:val="00686D90"/>
    <w:rsid w:val="0069085A"/>
    <w:rsid w:val="00691240"/>
    <w:rsid w:val="006943D5"/>
    <w:rsid w:val="00697AA7"/>
    <w:rsid w:val="006A203D"/>
    <w:rsid w:val="006A335A"/>
    <w:rsid w:val="006A3D85"/>
    <w:rsid w:val="006B1AF6"/>
    <w:rsid w:val="006C12CA"/>
    <w:rsid w:val="006C37BC"/>
    <w:rsid w:val="006C62A7"/>
    <w:rsid w:val="006D22EF"/>
    <w:rsid w:val="006D571E"/>
    <w:rsid w:val="006D6FC4"/>
    <w:rsid w:val="006E1C9C"/>
    <w:rsid w:val="006E5BC4"/>
    <w:rsid w:val="006F0D9A"/>
    <w:rsid w:val="006F2DF7"/>
    <w:rsid w:val="006F3589"/>
    <w:rsid w:val="006F4BE2"/>
    <w:rsid w:val="007147CE"/>
    <w:rsid w:val="00717F20"/>
    <w:rsid w:val="007218F6"/>
    <w:rsid w:val="00734688"/>
    <w:rsid w:val="00734D89"/>
    <w:rsid w:val="00741F55"/>
    <w:rsid w:val="0075449F"/>
    <w:rsid w:val="00754983"/>
    <w:rsid w:val="007602F7"/>
    <w:rsid w:val="0076102C"/>
    <w:rsid w:val="00763508"/>
    <w:rsid w:val="00764009"/>
    <w:rsid w:val="00771067"/>
    <w:rsid w:val="00772ECA"/>
    <w:rsid w:val="007747C3"/>
    <w:rsid w:val="00774B67"/>
    <w:rsid w:val="00775418"/>
    <w:rsid w:val="0077758A"/>
    <w:rsid w:val="00780895"/>
    <w:rsid w:val="00786E83"/>
    <w:rsid w:val="00787AB5"/>
    <w:rsid w:val="007903E3"/>
    <w:rsid w:val="007C4ADD"/>
    <w:rsid w:val="007D492B"/>
    <w:rsid w:val="007E2BDA"/>
    <w:rsid w:val="007E30F5"/>
    <w:rsid w:val="007E6E80"/>
    <w:rsid w:val="007F0BF9"/>
    <w:rsid w:val="007F10A5"/>
    <w:rsid w:val="007F155B"/>
    <w:rsid w:val="00800F58"/>
    <w:rsid w:val="00803689"/>
    <w:rsid w:val="00803AFD"/>
    <w:rsid w:val="00810C2E"/>
    <w:rsid w:val="00811A09"/>
    <w:rsid w:val="008212DA"/>
    <w:rsid w:val="008273FB"/>
    <w:rsid w:val="008352C6"/>
    <w:rsid w:val="00841BF2"/>
    <w:rsid w:val="0084311E"/>
    <w:rsid w:val="00846475"/>
    <w:rsid w:val="0085591D"/>
    <w:rsid w:val="008610B3"/>
    <w:rsid w:val="0086591E"/>
    <w:rsid w:val="008679BA"/>
    <w:rsid w:val="0087175A"/>
    <w:rsid w:val="00871FFE"/>
    <w:rsid w:val="00872889"/>
    <w:rsid w:val="00875E8E"/>
    <w:rsid w:val="00882A41"/>
    <w:rsid w:val="00883F26"/>
    <w:rsid w:val="00886D27"/>
    <w:rsid w:val="00892234"/>
    <w:rsid w:val="008A0F67"/>
    <w:rsid w:val="008A209D"/>
    <w:rsid w:val="008A3729"/>
    <w:rsid w:val="008A6A46"/>
    <w:rsid w:val="008B0EB4"/>
    <w:rsid w:val="008B2539"/>
    <w:rsid w:val="008B61B0"/>
    <w:rsid w:val="008B7F4A"/>
    <w:rsid w:val="008C2C85"/>
    <w:rsid w:val="008C4B39"/>
    <w:rsid w:val="008C4C01"/>
    <w:rsid w:val="008C54BC"/>
    <w:rsid w:val="008C71B5"/>
    <w:rsid w:val="008D0A1B"/>
    <w:rsid w:val="008D4181"/>
    <w:rsid w:val="008E0F20"/>
    <w:rsid w:val="008E2A69"/>
    <w:rsid w:val="008E62B0"/>
    <w:rsid w:val="008F0423"/>
    <w:rsid w:val="008F2CD1"/>
    <w:rsid w:val="008F39A6"/>
    <w:rsid w:val="008F7442"/>
    <w:rsid w:val="00902BE9"/>
    <w:rsid w:val="00906B22"/>
    <w:rsid w:val="0091105C"/>
    <w:rsid w:val="009174B1"/>
    <w:rsid w:val="009179B2"/>
    <w:rsid w:val="00920D2D"/>
    <w:rsid w:val="0092632F"/>
    <w:rsid w:val="00927093"/>
    <w:rsid w:val="009327D5"/>
    <w:rsid w:val="00933413"/>
    <w:rsid w:val="00933AC4"/>
    <w:rsid w:val="00934F06"/>
    <w:rsid w:val="009377B6"/>
    <w:rsid w:val="00937E30"/>
    <w:rsid w:val="00940287"/>
    <w:rsid w:val="009413E0"/>
    <w:rsid w:val="0095203E"/>
    <w:rsid w:val="00953F40"/>
    <w:rsid w:val="0095449B"/>
    <w:rsid w:val="00961BAE"/>
    <w:rsid w:val="009702DA"/>
    <w:rsid w:val="009732BD"/>
    <w:rsid w:val="00975905"/>
    <w:rsid w:val="0097679A"/>
    <w:rsid w:val="00980803"/>
    <w:rsid w:val="009832E5"/>
    <w:rsid w:val="00985BFE"/>
    <w:rsid w:val="009901D7"/>
    <w:rsid w:val="00990552"/>
    <w:rsid w:val="00991878"/>
    <w:rsid w:val="009929F0"/>
    <w:rsid w:val="009A122A"/>
    <w:rsid w:val="009A200F"/>
    <w:rsid w:val="009A2DF3"/>
    <w:rsid w:val="009A457B"/>
    <w:rsid w:val="009A5BF9"/>
    <w:rsid w:val="009B3B54"/>
    <w:rsid w:val="009C0D0B"/>
    <w:rsid w:val="009C1311"/>
    <w:rsid w:val="009C2F06"/>
    <w:rsid w:val="009C6822"/>
    <w:rsid w:val="009C74A8"/>
    <w:rsid w:val="009D0047"/>
    <w:rsid w:val="009D1A99"/>
    <w:rsid w:val="009F1F9D"/>
    <w:rsid w:val="009F3E21"/>
    <w:rsid w:val="00A0647E"/>
    <w:rsid w:val="00A10FF5"/>
    <w:rsid w:val="00A11BA5"/>
    <w:rsid w:val="00A12C1F"/>
    <w:rsid w:val="00A15761"/>
    <w:rsid w:val="00A174DB"/>
    <w:rsid w:val="00A20525"/>
    <w:rsid w:val="00A24F83"/>
    <w:rsid w:val="00A252B7"/>
    <w:rsid w:val="00A306D5"/>
    <w:rsid w:val="00A33B12"/>
    <w:rsid w:val="00A44086"/>
    <w:rsid w:val="00A5027C"/>
    <w:rsid w:val="00A50D1B"/>
    <w:rsid w:val="00A54F55"/>
    <w:rsid w:val="00A60FBC"/>
    <w:rsid w:val="00A612CB"/>
    <w:rsid w:val="00A61DC1"/>
    <w:rsid w:val="00A63285"/>
    <w:rsid w:val="00A667A0"/>
    <w:rsid w:val="00A67C04"/>
    <w:rsid w:val="00A718A3"/>
    <w:rsid w:val="00A71A67"/>
    <w:rsid w:val="00A76979"/>
    <w:rsid w:val="00A83FD5"/>
    <w:rsid w:val="00A84350"/>
    <w:rsid w:val="00A937C0"/>
    <w:rsid w:val="00A947D2"/>
    <w:rsid w:val="00A94D8A"/>
    <w:rsid w:val="00AA1D54"/>
    <w:rsid w:val="00AA2B03"/>
    <w:rsid w:val="00AB176E"/>
    <w:rsid w:val="00AB4294"/>
    <w:rsid w:val="00AB44D7"/>
    <w:rsid w:val="00AB4F19"/>
    <w:rsid w:val="00AB7C35"/>
    <w:rsid w:val="00AB7E20"/>
    <w:rsid w:val="00AC09D7"/>
    <w:rsid w:val="00AC79A7"/>
    <w:rsid w:val="00AD4853"/>
    <w:rsid w:val="00AD6E54"/>
    <w:rsid w:val="00AE07B4"/>
    <w:rsid w:val="00AE5B40"/>
    <w:rsid w:val="00AE7F80"/>
    <w:rsid w:val="00AF57D0"/>
    <w:rsid w:val="00B05056"/>
    <w:rsid w:val="00B138C5"/>
    <w:rsid w:val="00B202A9"/>
    <w:rsid w:val="00B222D8"/>
    <w:rsid w:val="00B26AD7"/>
    <w:rsid w:val="00B26D16"/>
    <w:rsid w:val="00B40163"/>
    <w:rsid w:val="00B429AC"/>
    <w:rsid w:val="00B4517E"/>
    <w:rsid w:val="00B45959"/>
    <w:rsid w:val="00B56690"/>
    <w:rsid w:val="00B6008F"/>
    <w:rsid w:val="00B7087A"/>
    <w:rsid w:val="00B70EAC"/>
    <w:rsid w:val="00B71F3F"/>
    <w:rsid w:val="00B72572"/>
    <w:rsid w:val="00B731FE"/>
    <w:rsid w:val="00B80021"/>
    <w:rsid w:val="00B802EC"/>
    <w:rsid w:val="00B831AF"/>
    <w:rsid w:val="00B83450"/>
    <w:rsid w:val="00B920E3"/>
    <w:rsid w:val="00B93322"/>
    <w:rsid w:val="00B946F2"/>
    <w:rsid w:val="00BA5F6F"/>
    <w:rsid w:val="00BB14C0"/>
    <w:rsid w:val="00BB28DF"/>
    <w:rsid w:val="00BB6283"/>
    <w:rsid w:val="00BC1F5F"/>
    <w:rsid w:val="00BC3525"/>
    <w:rsid w:val="00BD24E5"/>
    <w:rsid w:val="00BD2AF8"/>
    <w:rsid w:val="00BD3575"/>
    <w:rsid w:val="00BD7BAA"/>
    <w:rsid w:val="00BE29C3"/>
    <w:rsid w:val="00BE55F6"/>
    <w:rsid w:val="00BE76A4"/>
    <w:rsid w:val="00BF17C1"/>
    <w:rsid w:val="00BF5892"/>
    <w:rsid w:val="00BF5E96"/>
    <w:rsid w:val="00C01F2C"/>
    <w:rsid w:val="00C05DE1"/>
    <w:rsid w:val="00C11B89"/>
    <w:rsid w:val="00C16BC1"/>
    <w:rsid w:val="00C20A5E"/>
    <w:rsid w:val="00C20C6D"/>
    <w:rsid w:val="00C221D1"/>
    <w:rsid w:val="00C240C1"/>
    <w:rsid w:val="00C26431"/>
    <w:rsid w:val="00C2701E"/>
    <w:rsid w:val="00C3479C"/>
    <w:rsid w:val="00C42E86"/>
    <w:rsid w:val="00C521A3"/>
    <w:rsid w:val="00C5387C"/>
    <w:rsid w:val="00C55CA5"/>
    <w:rsid w:val="00C61D81"/>
    <w:rsid w:val="00C65575"/>
    <w:rsid w:val="00C82036"/>
    <w:rsid w:val="00C82D18"/>
    <w:rsid w:val="00C853BB"/>
    <w:rsid w:val="00C853E7"/>
    <w:rsid w:val="00C913D4"/>
    <w:rsid w:val="00C91FE0"/>
    <w:rsid w:val="00CA0987"/>
    <w:rsid w:val="00CA40E0"/>
    <w:rsid w:val="00CA710A"/>
    <w:rsid w:val="00CA7CC3"/>
    <w:rsid w:val="00CB030D"/>
    <w:rsid w:val="00CB3232"/>
    <w:rsid w:val="00CB4ABB"/>
    <w:rsid w:val="00CC0A7A"/>
    <w:rsid w:val="00CC150E"/>
    <w:rsid w:val="00CC4948"/>
    <w:rsid w:val="00CC696A"/>
    <w:rsid w:val="00CD3131"/>
    <w:rsid w:val="00CD3A26"/>
    <w:rsid w:val="00CE33EB"/>
    <w:rsid w:val="00CE3459"/>
    <w:rsid w:val="00CF0266"/>
    <w:rsid w:val="00CF05B2"/>
    <w:rsid w:val="00CF0FC9"/>
    <w:rsid w:val="00CF2C52"/>
    <w:rsid w:val="00D01235"/>
    <w:rsid w:val="00D02E5B"/>
    <w:rsid w:val="00D04C61"/>
    <w:rsid w:val="00D061B6"/>
    <w:rsid w:val="00D061FA"/>
    <w:rsid w:val="00D06362"/>
    <w:rsid w:val="00D076AD"/>
    <w:rsid w:val="00D23378"/>
    <w:rsid w:val="00D26BAF"/>
    <w:rsid w:val="00D33A18"/>
    <w:rsid w:val="00D46008"/>
    <w:rsid w:val="00D54116"/>
    <w:rsid w:val="00D54D66"/>
    <w:rsid w:val="00D55F28"/>
    <w:rsid w:val="00D605EF"/>
    <w:rsid w:val="00D6080E"/>
    <w:rsid w:val="00D619D7"/>
    <w:rsid w:val="00D7146B"/>
    <w:rsid w:val="00D72561"/>
    <w:rsid w:val="00D72B8D"/>
    <w:rsid w:val="00D7658A"/>
    <w:rsid w:val="00D81087"/>
    <w:rsid w:val="00D810F9"/>
    <w:rsid w:val="00D84145"/>
    <w:rsid w:val="00D91726"/>
    <w:rsid w:val="00D94255"/>
    <w:rsid w:val="00DA02CB"/>
    <w:rsid w:val="00DA10A2"/>
    <w:rsid w:val="00DA1E72"/>
    <w:rsid w:val="00DA5BE2"/>
    <w:rsid w:val="00DC5A32"/>
    <w:rsid w:val="00DC7064"/>
    <w:rsid w:val="00DD3CB4"/>
    <w:rsid w:val="00DD55BD"/>
    <w:rsid w:val="00DD73D4"/>
    <w:rsid w:val="00DF269F"/>
    <w:rsid w:val="00DF27A2"/>
    <w:rsid w:val="00DF67A6"/>
    <w:rsid w:val="00DF6FA8"/>
    <w:rsid w:val="00DF7451"/>
    <w:rsid w:val="00E10FE4"/>
    <w:rsid w:val="00E11E74"/>
    <w:rsid w:val="00E12FFA"/>
    <w:rsid w:val="00E221A3"/>
    <w:rsid w:val="00E24F06"/>
    <w:rsid w:val="00E32140"/>
    <w:rsid w:val="00E347C0"/>
    <w:rsid w:val="00E37B92"/>
    <w:rsid w:val="00E40AF6"/>
    <w:rsid w:val="00E41F37"/>
    <w:rsid w:val="00E42355"/>
    <w:rsid w:val="00E45877"/>
    <w:rsid w:val="00E4596A"/>
    <w:rsid w:val="00E47637"/>
    <w:rsid w:val="00E50B17"/>
    <w:rsid w:val="00E5268C"/>
    <w:rsid w:val="00E539B9"/>
    <w:rsid w:val="00E56D4B"/>
    <w:rsid w:val="00E573AF"/>
    <w:rsid w:val="00E6126D"/>
    <w:rsid w:val="00E65982"/>
    <w:rsid w:val="00E725E1"/>
    <w:rsid w:val="00E75283"/>
    <w:rsid w:val="00E839E8"/>
    <w:rsid w:val="00E8544F"/>
    <w:rsid w:val="00E90B1C"/>
    <w:rsid w:val="00EA5291"/>
    <w:rsid w:val="00EA6183"/>
    <w:rsid w:val="00EA7BE4"/>
    <w:rsid w:val="00EA7D0F"/>
    <w:rsid w:val="00EB25B7"/>
    <w:rsid w:val="00EB6885"/>
    <w:rsid w:val="00EC06D4"/>
    <w:rsid w:val="00EC1C1F"/>
    <w:rsid w:val="00EC29BC"/>
    <w:rsid w:val="00EC3398"/>
    <w:rsid w:val="00EC48C3"/>
    <w:rsid w:val="00EC6910"/>
    <w:rsid w:val="00ED1C50"/>
    <w:rsid w:val="00ED7169"/>
    <w:rsid w:val="00EE1463"/>
    <w:rsid w:val="00EE33E8"/>
    <w:rsid w:val="00EE6A4C"/>
    <w:rsid w:val="00EE777E"/>
    <w:rsid w:val="00EF2891"/>
    <w:rsid w:val="00EF3BE4"/>
    <w:rsid w:val="00F0306A"/>
    <w:rsid w:val="00F0642F"/>
    <w:rsid w:val="00F136EF"/>
    <w:rsid w:val="00F21F21"/>
    <w:rsid w:val="00F321A3"/>
    <w:rsid w:val="00F34454"/>
    <w:rsid w:val="00F51173"/>
    <w:rsid w:val="00F52401"/>
    <w:rsid w:val="00F54AF3"/>
    <w:rsid w:val="00F56D57"/>
    <w:rsid w:val="00F61E4F"/>
    <w:rsid w:val="00F64F1E"/>
    <w:rsid w:val="00F654E2"/>
    <w:rsid w:val="00F67F61"/>
    <w:rsid w:val="00F7624D"/>
    <w:rsid w:val="00F76A27"/>
    <w:rsid w:val="00F77472"/>
    <w:rsid w:val="00F85EA2"/>
    <w:rsid w:val="00F86C79"/>
    <w:rsid w:val="00F908B8"/>
    <w:rsid w:val="00F91B3D"/>
    <w:rsid w:val="00F92A7D"/>
    <w:rsid w:val="00F93ABA"/>
    <w:rsid w:val="00F96D26"/>
    <w:rsid w:val="00F97626"/>
    <w:rsid w:val="00F97AD5"/>
    <w:rsid w:val="00FA0967"/>
    <w:rsid w:val="00FA1A6E"/>
    <w:rsid w:val="00FA27E5"/>
    <w:rsid w:val="00FA29CC"/>
    <w:rsid w:val="00FA35D2"/>
    <w:rsid w:val="00FA47D4"/>
    <w:rsid w:val="00FA5C6C"/>
    <w:rsid w:val="00FA685F"/>
    <w:rsid w:val="00FA77CB"/>
    <w:rsid w:val="00FB05F9"/>
    <w:rsid w:val="00FB1CDE"/>
    <w:rsid w:val="00FB2DF6"/>
    <w:rsid w:val="00FB361B"/>
    <w:rsid w:val="00FB3EEB"/>
    <w:rsid w:val="00FD5885"/>
    <w:rsid w:val="00FD75DC"/>
    <w:rsid w:val="00FE1BDD"/>
    <w:rsid w:val="00FF41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BB86ED"/>
  <w15:docId w15:val="{7FB4397E-DD1D-4C84-8308-46DF1CA7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C4C01"/>
    <w:rPr>
      <w:rFonts w:asciiTheme="majorHAnsi" w:eastAsiaTheme="majorEastAsia" w:hAnsiTheme="majorHAnsi" w:cstheme="majorBidi"/>
      <w:b/>
      <w:caps/>
      <w:spacing w:val="5"/>
      <w:kern w:val="28"/>
      <w:sz w:val="64"/>
      <w:szCs w:val="52"/>
    </w:rPr>
  </w:style>
  <w:style w:type="paragraph" w:customStyle="1" w:styleId="Default">
    <w:name w:val="Default"/>
    <w:rsid w:val="00D26BAF"/>
    <w:pPr>
      <w:autoSpaceDE w:val="0"/>
      <w:autoSpaceDN w:val="0"/>
      <w:adjustRightInd w:val="0"/>
    </w:pPr>
    <w:rPr>
      <w:rFonts w:ascii="Arial" w:eastAsiaTheme="minorEastAsia" w:hAnsi="Arial" w:cs="Arial"/>
      <w:color w:val="000000"/>
      <w:sz w:val="24"/>
      <w:szCs w:val="24"/>
      <w:lang w:eastAsia="ja-JP"/>
    </w:rPr>
  </w:style>
  <w:style w:type="paragraph" w:styleId="FootnoteText">
    <w:name w:val="footnote text"/>
    <w:basedOn w:val="Normal"/>
    <w:link w:val="FootnoteTextChar"/>
    <w:uiPriority w:val="99"/>
    <w:semiHidden/>
    <w:unhideWhenUsed/>
    <w:rsid w:val="00D72B8D"/>
    <w:pPr>
      <w:spacing w:line="240" w:lineRule="auto"/>
    </w:pPr>
    <w:rPr>
      <w:sz w:val="20"/>
    </w:rPr>
  </w:style>
  <w:style w:type="character" w:customStyle="1" w:styleId="FootnoteTextChar">
    <w:name w:val="Footnote Text Char"/>
    <w:basedOn w:val="DefaultParagraphFont"/>
    <w:link w:val="FootnoteText"/>
    <w:uiPriority w:val="99"/>
    <w:semiHidden/>
    <w:rsid w:val="00D72B8D"/>
    <w:rPr>
      <w:rFonts w:asciiTheme="minorHAnsi" w:hAnsiTheme="minorHAnsi"/>
    </w:rPr>
  </w:style>
  <w:style w:type="character" w:styleId="FootnoteReference">
    <w:name w:val="footnote reference"/>
    <w:basedOn w:val="DefaultParagraphFont"/>
    <w:uiPriority w:val="99"/>
    <w:semiHidden/>
    <w:unhideWhenUsed/>
    <w:rsid w:val="00D72B8D"/>
    <w:rPr>
      <w:vertAlign w:val="superscript"/>
    </w:rPr>
  </w:style>
  <w:style w:type="character" w:styleId="CommentReference">
    <w:name w:val="annotation reference"/>
    <w:basedOn w:val="DefaultParagraphFont"/>
    <w:uiPriority w:val="99"/>
    <w:semiHidden/>
    <w:unhideWhenUsed/>
    <w:rsid w:val="00FD5885"/>
    <w:rPr>
      <w:sz w:val="16"/>
      <w:szCs w:val="16"/>
    </w:rPr>
  </w:style>
  <w:style w:type="paragraph" w:styleId="CommentText">
    <w:name w:val="annotation text"/>
    <w:basedOn w:val="Normal"/>
    <w:link w:val="CommentTextChar"/>
    <w:uiPriority w:val="99"/>
    <w:unhideWhenUsed/>
    <w:rsid w:val="00FD5885"/>
    <w:pPr>
      <w:spacing w:line="240" w:lineRule="auto"/>
    </w:pPr>
    <w:rPr>
      <w:sz w:val="20"/>
    </w:rPr>
  </w:style>
  <w:style w:type="character" w:customStyle="1" w:styleId="CommentTextChar">
    <w:name w:val="Comment Text Char"/>
    <w:basedOn w:val="DefaultParagraphFont"/>
    <w:link w:val="CommentText"/>
    <w:uiPriority w:val="99"/>
    <w:rsid w:val="00FD588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D5885"/>
    <w:rPr>
      <w:b/>
      <w:bCs/>
    </w:rPr>
  </w:style>
  <w:style w:type="character" w:customStyle="1" w:styleId="CommentSubjectChar">
    <w:name w:val="Comment Subject Char"/>
    <w:basedOn w:val="CommentTextChar"/>
    <w:link w:val="CommentSubject"/>
    <w:uiPriority w:val="99"/>
    <w:semiHidden/>
    <w:rsid w:val="00FD5885"/>
    <w:rPr>
      <w:rFonts w:asciiTheme="minorHAnsi" w:hAnsiTheme="minorHAnsi"/>
      <w:b/>
      <w:bCs/>
    </w:rPr>
  </w:style>
  <w:style w:type="paragraph" w:styleId="NoSpacing">
    <w:name w:val="No Spacing"/>
    <w:uiPriority w:val="1"/>
    <w:qFormat/>
    <w:rsid w:val="00117828"/>
    <w:rPr>
      <w:rFonts w:asciiTheme="minorHAnsi" w:eastAsiaTheme="minorEastAsia" w:hAnsiTheme="minorHAnsi" w:cstheme="minorBidi"/>
      <w:sz w:val="22"/>
      <w:szCs w:val="22"/>
      <w:lang w:eastAsia="ja-JP"/>
    </w:rPr>
  </w:style>
  <w:style w:type="paragraph" w:customStyle="1" w:styleId="BNPPAMRFPTableTextLeft">
    <w:name w:val="+BNPP AM_RFP Table Text_Left"/>
    <w:qFormat/>
    <w:rsid w:val="00117828"/>
    <w:pPr>
      <w:spacing w:before="40" w:after="40"/>
    </w:pPr>
    <w:rPr>
      <w:rFonts w:ascii="Arial" w:eastAsia="Times New Roman" w:hAnsi="Arial" w:cs="Arial"/>
      <w:sz w:val="21"/>
      <w:szCs w:val="24"/>
      <w:lang w:val="en-GB" w:eastAsia="fr-FR"/>
    </w:rPr>
  </w:style>
  <w:style w:type="table" w:styleId="TableGrid">
    <w:name w:val="Table Grid"/>
    <w:basedOn w:val="TableNormal"/>
    <w:uiPriority w:val="59"/>
    <w:rsid w:val="00F97626"/>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33EB"/>
    <w:rPr>
      <w:color w:val="3C9146" w:themeColor="followedHyperlink"/>
      <w:u w:val="single"/>
    </w:rPr>
  </w:style>
  <w:style w:type="paragraph" w:styleId="Revision">
    <w:name w:val="Revision"/>
    <w:hidden/>
    <w:uiPriority w:val="99"/>
    <w:semiHidden/>
    <w:rsid w:val="00B05056"/>
    <w:rPr>
      <w:rFonts w:asciiTheme="minorHAnsi" w:hAnsiTheme="minorHAnsi"/>
      <w:sz w:val="24"/>
    </w:rPr>
  </w:style>
  <w:style w:type="paragraph" w:styleId="NormalWeb">
    <w:name w:val="Normal (Web)"/>
    <w:basedOn w:val="Normal"/>
    <w:uiPriority w:val="99"/>
    <w:unhideWhenUsed/>
    <w:rsid w:val="00420F80"/>
    <w:pPr>
      <w:spacing w:before="100" w:beforeAutospacing="1" w:after="100" w:afterAutospacing="1" w:line="240" w:lineRule="auto"/>
      <w:jc w:val="left"/>
    </w:pPr>
    <w:rPr>
      <w:rFonts w:ascii="Times New Roman" w:eastAsia="Times New Roman" w:hAnsi="Times New Roman"/>
      <w:szCs w:val="24"/>
      <w:lang w:eastAsia="fr-FR"/>
    </w:rPr>
  </w:style>
  <w:style w:type="character" w:styleId="Strong">
    <w:name w:val="Strong"/>
    <w:basedOn w:val="DefaultParagraphFont"/>
    <w:uiPriority w:val="22"/>
    <w:qFormat/>
    <w:rsid w:val="00420F80"/>
    <w:rPr>
      <w:b/>
      <w:bCs/>
    </w:rPr>
  </w:style>
  <w:style w:type="character" w:styleId="Emphasis">
    <w:name w:val="Emphasis"/>
    <w:basedOn w:val="DefaultParagraphFont"/>
    <w:uiPriority w:val="20"/>
    <w:qFormat/>
    <w:rsid w:val="00A76979"/>
    <w:rPr>
      <w:i/>
      <w:iCs/>
    </w:rPr>
  </w:style>
  <w:style w:type="paragraph" w:styleId="ListParagraph">
    <w:name w:val="List Paragraph"/>
    <w:basedOn w:val="Normal"/>
    <w:uiPriority w:val="34"/>
    <w:qFormat/>
    <w:rsid w:val="005A4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1127">
      <w:bodyDiv w:val="1"/>
      <w:marLeft w:val="0"/>
      <w:marRight w:val="0"/>
      <w:marTop w:val="0"/>
      <w:marBottom w:val="0"/>
      <w:divBdr>
        <w:top w:val="none" w:sz="0" w:space="0" w:color="auto"/>
        <w:left w:val="none" w:sz="0" w:space="0" w:color="auto"/>
        <w:bottom w:val="none" w:sz="0" w:space="0" w:color="auto"/>
        <w:right w:val="none" w:sz="0" w:space="0" w:color="auto"/>
      </w:divBdr>
    </w:div>
    <w:div w:id="191502925">
      <w:bodyDiv w:val="1"/>
      <w:marLeft w:val="0"/>
      <w:marRight w:val="0"/>
      <w:marTop w:val="0"/>
      <w:marBottom w:val="0"/>
      <w:divBdr>
        <w:top w:val="none" w:sz="0" w:space="0" w:color="auto"/>
        <w:left w:val="none" w:sz="0" w:space="0" w:color="auto"/>
        <w:bottom w:val="none" w:sz="0" w:space="0" w:color="auto"/>
        <w:right w:val="none" w:sz="0" w:space="0" w:color="auto"/>
      </w:divBdr>
    </w:div>
    <w:div w:id="199369218">
      <w:bodyDiv w:val="1"/>
      <w:marLeft w:val="0"/>
      <w:marRight w:val="0"/>
      <w:marTop w:val="0"/>
      <w:marBottom w:val="0"/>
      <w:divBdr>
        <w:top w:val="none" w:sz="0" w:space="0" w:color="auto"/>
        <w:left w:val="none" w:sz="0" w:space="0" w:color="auto"/>
        <w:bottom w:val="none" w:sz="0" w:space="0" w:color="auto"/>
        <w:right w:val="none" w:sz="0" w:space="0" w:color="auto"/>
      </w:divBdr>
    </w:div>
    <w:div w:id="507061014">
      <w:bodyDiv w:val="1"/>
      <w:marLeft w:val="0"/>
      <w:marRight w:val="0"/>
      <w:marTop w:val="0"/>
      <w:marBottom w:val="0"/>
      <w:divBdr>
        <w:top w:val="none" w:sz="0" w:space="0" w:color="auto"/>
        <w:left w:val="none" w:sz="0" w:space="0" w:color="auto"/>
        <w:bottom w:val="none" w:sz="0" w:space="0" w:color="auto"/>
        <w:right w:val="none" w:sz="0" w:space="0" w:color="auto"/>
      </w:divBdr>
    </w:div>
    <w:div w:id="873690230">
      <w:bodyDiv w:val="1"/>
      <w:marLeft w:val="0"/>
      <w:marRight w:val="0"/>
      <w:marTop w:val="0"/>
      <w:marBottom w:val="0"/>
      <w:divBdr>
        <w:top w:val="none" w:sz="0" w:space="0" w:color="auto"/>
        <w:left w:val="none" w:sz="0" w:space="0" w:color="auto"/>
        <w:bottom w:val="none" w:sz="0" w:space="0" w:color="auto"/>
        <w:right w:val="none" w:sz="0" w:space="0" w:color="auto"/>
      </w:divBdr>
      <w:divsChild>
        <w:div w:id="2038776544">
          <w:marLeft w:val="-240"/>
          <w:marRight w:val="-240"/>
          <w:marTop w:val="0"/>
          <w:marBottom w:val="0"/>
          <w:divBdr>
            <w:top w:val="none" w:sz="0" w:space="0" w:color="auto"/>
            <w:left w:val="none" w:sz="0" w:space="0" w:color="auto"/>
            <w:bottom w:val="none" w:sz="0" w:space="0" w:color="auto"/>
            <w:right w:val="none" w:sz="0" w:space="0" w:color="auto"/>
          </w:divBdr>
          <w:divsChild>
            <w:div w:id="10006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623">
      <w:bodyDiv w:val="1"/>
      <w:marLeft w:val="0"/>
      <w:marRight w:val="0"/>
      <w:marTop w:val="0"/>
      <w:marBottom w:val="0"/>
      <w:divBdr>
        <w:top w:val="none" w:sz="0" w:space="0" w:color="auto"/>
        <w:left w:val="none" w:sz="0" w:space="0" w:color="auto"/>
        <w:bottom w:val="none" w:sz="0" w:space="0" w:color="auto"/>
        <w:right w:val="none" w:sz="0" w:space="0" w:color="auto"/>
      </w:divBdr>
    </w:div>
    <w:div w:id="1217932597">
      <w:bodyDiv w:val="1"/>
      <w:marLeft w:val="0"/>
      <w:marRight w:val="0"/>
      <w:marTop w:val="0"/>
      <w:marBottom w:val="0"/>
      <w:divBdr>
        <w:top w:val="none" w:sz="0" w:space="0" w:color="auto"/>
        <w:left w:val="none" w:sz="0" w:space="0" w:color="auto"/>
        <w:bottom w:val="none" w:sz="0" w:space="0" w:color="auto"/>
        <w:right w:val="none" w:sz="0" w:space="0" w:color="auto"/>
      </w:divBdr>
    </w:div>
    <w:div w:id="1356997480">
      <w:bodyDiv w:val="1"/>
      <w:marLeft w:val="0"/>
      <w:marRight w:val="0"/>
      <w:marTop w:val="0"/>
      <w:marBottom w:val="0"/>
      <w:divBdr>
        <w:top w:val="none" w:sz="0" w:space="0" w:color="auto"/>
        <w:left w:val="none" w:sz="0" w:space="0" w:color="auto"/>
        <w:bottom w:val="none" w:sz="0" w:space="0" w:color="auto"/>
        <w:right w:val="none" w:sz="0" w:space="0" w:color="auto"/>
      </w:divBdr>
    </w:div>
    <w:div w:id="1850484984">
      <w:bodyDiv w:val="1"/>
      <w:marLeft w:val="0"/>
      <w:marRight w:val="0"/>
      <w:marTop w:val="0"/>
      <w:marBottom w:val="0"/>
      <w:divBdr>
        <w:top w:val="none" w:sz="0" w:space="0" w:color="auto"/>
        <w:left w:val="none" w:sz="0" w:space="0" w:color="auto"/>
        <w:bottom w:val="none" w:sz="0" w:space="0" w:color="auto"/>
        <w:right w:val="none" w:sz="0" w:space="0" w:color="auto"/>
      </w:divBdr>
    </w:div>
    <w:div w:id="1921059884">
      <w:bodyDiv w:val="1"/>
      <w:marLeft w:val="0"/>
      <w:marRight w:val="0"/>
      <w:marTop w:val="0"/>
      <w:marBottom w:val="0"/>
      <w:divBdr>
        <w:top w:val="none" w:sz="0" w:space="0" w:color="auto"/>
        <w:left w:val="none" w:sz="0" w:space="0" w:color="auto"/>
        <w:bottom w:val="none" w:sz="0" w:space="0" w:color="auto"/>
        <w:right w:val="none" w:sz="0" w:space="0" w:color="auto"/>
      </w:divBdr>
    </w:div>
    <w:div w:id="2033845339">
      <w:bodyDiv w:val="1"/>
      <w:marLeft w:val="0"/>
      <w:marRight w:val="0"/>
      <w:marTop w:val="0"/>
      <w:marBottom w:val="0"/>
      <w:divBdr>
        <w:top w:val="none" w:sz="0" w:space="0" w:color="auto"/>
        <w:left w:val="none" w:sz="0" w:space="0" w:color="auto"/>
        <w:bottom w:val="none" w:sz="0" w:space="0" w:color="auto"/>
        <w:right w:val="none" w:sz="0" w:space="0" w:color="auto"/>
      </w:divBdr>
      <w:divsChild>
        <w:div w:id="1744988297">
          <w:marLeft w:val="-240"/>
          <w:marRight w:val="-240"/>
          <w:marTop w:val="0"/>
          <w:marBottom w:val="0"/>
          <w:divBdr>
            <w:top w:val="none" w:sz="0" w:space="0" w:color="auto"/>
            <w:left w:val="none" w:sz="0" w:space="0" w:color="auto"/>
            <w:bottom w:val="none" w:sz="0" w:space="0" w:color="auto"/>
            <w:right w:val="none" w:sz="0" w:space="0" w:color="auto"/>
          </w:divBdr>
          <w:divsChild>
            <w:div w:id="1087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room-en.bnpparibas-am.com/" TargetMode="External"/><Relationship Id="rId18" Type="http://schemas.openxmlformats.org/officeDocument/2006/relationships/hyperlink" Target="https://www.twitter.com/BNPPAM_F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jpg"/><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bnpparibas-am.com/" TargetMode="External"/><Relationship Id="rId17" Type="http://schemas.openxmlformats.org/officeDocument/2006/relationships/image" Target="media/image2.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bnp-paribas-asset-management" TargetMode="External"/><Relationship Id="rId20" Type="http://schemas.openxmlformats.org/officeDocument/2006/relationships/hyperlink" Target="https://investors-corner.bnpparibas-am.com/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entin.smith@bnpparibas.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com/c/BNPPAM" TargetMode="External"/><Relationship Id="rId22" Type="http://schemas.openxmlformats.org/officeDocument/2006/relationships/hyperlink" Target="http://www.bnpparibas-am.com" TargetMode="External"/><Relationship Id="rId27" Type="http://schemas.openxmlformats.org/officeDocument/2006/relationships/header" Target="header3.xml"/><Relationship Id="rId30" Type="http://schemas.openxmlformats.org/officeDocument/2006/relationships/theme" Target="theme/theme1.xml"/><Relationship Id="rId35"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2A5C34120D3A47A2C34DAF30690C3B" ma:contentTypeVersion="13" ma:contentTypeDescription="Ein neues Dokument erstellen." ma:contentTypeScope="" ma:versionID="663f76734da7fbf7b5b16e86065827a6">
  <xsd:schema xmlns:xsd="http://www.w3.org/2001/XMLSchema" xmlns:xs="http://www.w3.org/2001/XMLSchema" xmlns:p="http://schemas.microsoft.com/office/2006/metadata/properties" xmlns:ns2="99a0b790-44c2-4081-88a3-aa33f0663233" xmlns:ns3="ba631af4-bba6-4c87-a730-1d04f54524e0" targetNamespace="http://schemas.microsoft.com/office/2006/metadata/properties" ma:root="true" ma:fieldsID="9f0258594f4ac6b91b84eb6034312a16" ns2:_="" ns3:_="">
    <xsd:import namespace="99a0b790-44c2-4081-88a3-aa33f0663233"/>
    <xsd:import namespace="ba631af4-bba6-4c87-a730-1d04f54524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0b790-44c2-4081-88a3-aa33f066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81285a29-1783-4da9-b2b1-9fc57f8c56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31af4-bba6-4c87-a730-1d04f54524e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5b933a-40c2-4bcd-b514-8a0a6085bf8e}" ma:internalName="TaxCatchAll" ma:showField="CatchAllData" ma:web="ba631af4-bba6-4c87-a730-1d04f54524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a0b790-44c2-4081-88a3-aa33f0663233">
      <Terms xmlns="http://schemas.microsoft.com/office/infopath/2007/PartnerControls"/>
    </lcf76f155ced4ddcb4097134ff3c332f>
    <TaxCatchAll xmlns="ba631af4-bba6-4c87-a730-1d04f54524e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5B45-0098-4B6E-88AC-9B3622442AAF}">
  <ds:schemaRefs>
    <ds:schemaRef ds:uri="http://schemas.microsoft.com/sharepoint/v3/contenttype/forms"/>
  </ds:schemaRefs>
</ds:datastoreItem>
</file>

<file path=customXml/itemProps2.xml><?xml version="1.0" encoding="utf-8"?>
<ds:datastoreItem xmlns:ds="http://schemas.openxmlformats.org/officeDocument/2006/customXml" ds:itemID="{AC4392BC-B134-4610-8FA7-FD67451EA51D}"/>
</file>

<file path=customXml/itemProps3.xml><?xml version="1.0" encoding="utf-8"?>
<ds:datastoreItem xmlns:ds="http://schemas.openxmlformats.org/officeDocument/2006/customXml" ds:itemID="{59FEE75D-7E85-46FC-86DE-3437BFF7B0BA}">
  <ds:schemaRefs>
    <ds:schemaRef ds:uri="http://purl.org/dc/terms/"/>
    <ds:schemaRef ds:uri="2c7bf10a-b616-4385-a142-b5a330ff9f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e2529cd-1766-48ef-80a8-fc7305e03962"/>
    <ds:schemaRef ds:uri="http://www.w3.org/XML/1998/namespace"/>
    <ds:schemaRef ds:uri="http://purl.org/dc/dcmitype/"/>
  </ds:schemaRefs>
</ds:datastoreItem>
</file>

<file path=customXml/itemProps4.xml><?xml version="1.0" encoding="utf-8"?>
<ds:datastoreItem xmlns:ds="http://schemas.openxmlformats.org/officeDocument/2006/customXml" ds:itemID="{BD4FACC3-68F7-4B1E-9EE0-CE3EF97C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1773</Words>
  <Characters>10111</Characters>
  <Application>Microsoft Office Word</Application>
  <DocSecurity>4</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Lionel OSTERERO</dc:creator>
  <cp:keywords>Classification=Select Classification Level, Classification=Public</cp:keywords>
  <cp:lastModifiedBy>Quentin SMITH</cp:lastModifiedBy>
  <cp:revision>2</cp:revision>
  <cp:lastPrinted>2018-10-16T12:32:00Z</cp:lastPrinted>
  <dcterms:created xsi:type="dcterms:W3CDTF">2022-06-22T09:25:00Z</dcterms:created>
  <dcterms:modified xsi:type="dcterms:W3CDTF">2022-06-22T09:25:00Z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65c6c636-1e4c-4d4e-81f1-e4d2e29cbd33</vt:lpwstr>
  </property>
  <property fmtid="{D5CDD505-2E9C-101B-9397-08002B2CF9AE}" pid="3" name="PIIGDPR">
    <vt:lpwstr>NotSpecified</vt:lpwstr>
  </property>
  <property fmtid="{D5CDD505-2E9C-101B-9397-08002B2CF9AE}" pid="4" name="MSIP_Label_48ed5431-0ab7-4c1b-98f4-d4e50f674d02_Enabled">
    <vt:lpwstr>true</vt:lpwstr>
  </property>
  <property fmtid="{D5CDD505-2E9C-101B-9397-08002B2CF9AE}" pid="5" name="MSIP_Label_48ed5431-0ab7-4c1b-98f4-d4e50f674d02_SetDate">
    <vt:lpwstr>2021-08-25T08:22:48Z</vt:lpwstr>
  </property>
  <property fmtid="{D5CDD505-2E9C-101B-9397-08002B2CF9AE}" pid="6" name="MSIP_Label_48ed5431-0ab7-4c1b-98f4-d4e50f674d02_Method">
    <vt:lpwstr>Standard</vt:lpwstr>
  </property>
  <property fmtid="{D5CDD505-2E9C-101B-9397-08002B2CF9AE}" pid="7" name="MSIP_Label_48ed5431-0ab7-4c1b-98f4-d4e50f674d02_Name">
    <vt:lpwstr>48ed5431-0ab7-4c1b-98f4-d4e50f674d02</vt:lpwstr>
  </property>
  <property fmtid="{D5CDD505-2E9C-101B-9397-08002B2CF9AE}" pid="8" name="MSIP_Label_48ed5431-0ab7-4c1b-98f4-d4e50f674d02_SiteId">
    <vt:lpwstr>614f9c25-bffa-42c7-86d8-964101f55fa2</vt:lpwstr>
  </property>
  <property fmtid="{D5CDD505-2E9C-101B-9397-08002B2CF9AE}" pid="9" name="MSIP_Label_48ed5431-0ab7-4c1b-98f4-d4e50f674d02_ActionId">
    <vt:lpwstr>1a281de1-1cb2-42dc-83a4-908776739333</vt:lpwstr>
  </property>
  <property fmtid="{D5CDD505-2E9C-101B-9397-08002B2CF9AE}" pid="10" name="MSIP_Label_48ed5431-0ab7-4c1b-98f4-d4e50f674d02_ContentBits">
    <vt:lpwstr>0</vt:lpwstr>
  </property>
  <property fmtid="{D5CDD505-2E9C-101B-9397-08002B2CF9AE}" pid="11" name="ContentTypeId">
    <vt:lpwstr>0x010100048C96089CA34E47B25616F218E69684</vt:lpwstr>
  </property>
  <property fmtid="{D5CDD505-2E9C-101B-9397-08002B2CF9AE}" pid="12" name="Classification">
    <vt:lpwstr>Public</vt:lpwstr>
  </property>
  <property fmtid="{D5CDD505-2E9C-101B-9397-08002B2CF9AE}" pid="13" name="ApplyVisualMarking">
    <vt:lpwstr>None</vt:lpwstr>
  </property>
</Properties>
</file>